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0"/>
      </w:pPr>
      <w:r>
        <w:rPr>
          <w:rFonts w:ascii="Arial" w:cs="Arial" w:eastAsia="Arial" w:hAnsi="Arial"/>
          <w:b/>
          <w:bCs/>
          <w:color w:val="E4572E"/>
          <w:spacing w:val="120"/>
          <w:sz w:val="24"/>
          <w:szCs w:val="24"/>
        </w:rPr>
        <w:t xml:space="preserve">BUZZLEAD</w:t>
      </w:r>
    </w:p>
    <w:p>
      <w:pPr>
        <w:spacing w:after="120"/>
      </w:pPr>
      <w:r>
        <w:rPr>
          <w:rFonts w:ascii="Arial" w:cs="Arial" w:eastAsia="Arial" w:hAnsi="Arial"/>
          <w:b/>
          <w:bCs/>
          <w:color w:val="0B1F3A"/>
          <w:sz w:val="64"/>
          <w:szCs w:val="64"/>
        </w:rPr>
        <w:t xml:space="preserve">Go-To-Market Strategy</w:t>
      </w:r>
    </w:p>
    <w:p>
      <w:pPr>
        <w:spacing w:after="400"/>
      </w:pPr>
      <w:r>
        <w:rPr>
          <w:rFonts w:ascii="Arial" w:cs="Arial" w:eastAsia="Arial" w:hAnsi="Arial"/>
          <w:color w:val="5A6472"/>
          <w:sz w:val="48"/>
          <w:szCs w:val="48"/>
        </w:rPr>
        <w:t xml:space="preserve">Redlist</w:t>
      </w:r>
    </w:p>
    <w:p>
      <w:pPr>
        <w:pBdr>
          <w:top w:val="single" w:color="E4572E" w:sz="8" w:space="8"/>
        </w:pBdr>
        <w:spacing w:after="60"/>
      </w:pPr>
      <w:r>
        <w:rPr>
          <w:rFonts w:ascii="Arial" w:cs="Arial" w:eastAsia="Arial" w:hAnsi="Arial"/>
          <w:color w:val="5A6472"/>
          <w:sz w:val="22"/>
          <w:szCs w:val="22"/>
        </w:rPr>
        <w:t xml:space="preserve">Prepared for Wayne Bulsiewicz and the Redlist leadership team</w:t>
      </w:r>
    </w:p>
    <w:p>
      <w:pPr>
        <w:spacing w:after="60"/>
      </w:pPr>
      <w:r>
        <w:rPr>
          <w:rFonts w:ascii="Arial" w:cs="Arial" w:eastAsia="Arial" w:hAnsi="Arial"/>
          <w:color w:val="5A6472"/>
          <w:sz w:val="22"/>
          <w:szCs w:val="22"/>
        </w:rPr>
        <w:t xml:space="preserve">Prepared by BuzzLead</w:t>
      </w:r>
    </w:p>
    <w:p>
      <w:r>
        <w:rPr>
          <w:rFonts w:ascii="Arial" w:cs="Arial" w:eastAsia="Arial" w:hAnsi="Arial"/>
          <w:color w:val="5A6472"/>
          <w:sz w:val="22"/>
          <w:szCs w:val="22"/>
        </w:rPr>
        <w:t xml:space="preserve">October 21, 2026</w:t>
      </w:r>
    </w:p>
    <w:p>
      <w:r>
        <w:br w:type="page"/>
      </w:r>
    </w:p>
    <w:p>
      <w:pPr>
        <w:pStyle w:val="Heading1"/>
        <w:pBdr>
          <w:bottom w:val="single" w:color="E4572E" w:sz="8" w:space="4"/>
        </w:pBdr>
        <w:spacing w:after="160" w:before="360"/>
      </w:pPr>
      <w:r>
        <w:rPr>
          <w:rFonts w:ascii="Arial" w:cs="Arial" w:eastAsia="Arial" w:hAnsi="Arial"/>
          <w:b/>
          <w:bCs/>
          <w:color w:val="0B1F3A"/>
          <w:sz w:val="32"/>
          <w:szCs w:val="32"/>
        </w:rPr>
        <w:t xml:space="preserve">1. Executive Summary</w:t>
      </w:r>
    </w:p>
    <w:p>
      <w:pPr>
        <w:pStyle w:val="ListParagraph"/>
        <w:numPr>
          <w:ilvl w:val="0"/>
          <w:numId w:val="2"/>
        </w:numPr>
        <w:spacing w:after="70"/>
      </w:pPr>
      <w:r>
        <w:rPr>
          <w:rFonts w:ascii="Arial" w:cs="Arial" w:eastAsia="Arial" w:hAnsi="Arial"/>
          <w:b/>
          <w:bCs/>
          <w:sz w:val="22"/>
          <w:szCs w:val="22"/>
        </w:rPr>
        <w:t xml:space="preserve">Who they are. </w:t>
      </w:r>
      <w:r>
        <w:rPr>
          <w:rFonts w:ascii="Arial" w:cs="Arial" w:eastAsia="Arial" w:hAnsi="Arial"/>
          <w:sz w:val="22"/>
          <w:szCs w:val="22"/>
        </w:rPr>
        <w:t xml:space="preserve">Redlist sells reliability centered maintenance software (lubrication management, CMMS, enterprise asset management, operator basic care) to asset-intensive plants, with a land-and-expand motion that starts at one site and spreads.</w:t>
      </w:r>
    </w:p>
    <w:p>
      <w:pPr>
        <w:pStyle w:val="ListParagraph"/>
        <w:numPr>
          <w:ilvl w:val="0"/>
          <w:numId w:val="2"/>
        </w:numPr>
        <w:spacing w:after="70"/>
      </w:pPr>
      <w:r>
        <w:rPr>
          <w:rFonts w:ascii="Arial" w:cs="Arial" w:eastAsia="Arial" w:hAnsi="Arial"/>
          <w:b/>
          <w:bCs/>
          <w:sz w:val="22"/>
          <w:szCs w:val="22"/>
        </w:rPr>
        <w:t xml:space="preserve">How they win customers today. </w:t>
      </w:r>
      <w:r>
        <w:rPr>
          <w:rFonts w:ascii="Arial" w:cs="Arial" w:eastAsia="Arial" w:hAnsi="Arial"/>
          <w:sz w:val="22"/>
          <w:szCs w:val="22"/>
        </w:rPr>
        <w:t xml:space="preserve">Cold calling, LinkedIn ads (about 80 leads a month, using a demo-for-AirPods offer), events, and a small partner channel. Events convert best, but Redlist only runs two to three a year.</w:t>
      </w:r>
    </w:p>
    <w:p>
      <w:pPr>
        <w:pStyle w:val="ListParagraph"/>
        <w:numPr>
          <w:ilvl w:val="0"/>
          <w:numId w:val="2"/>
        </w:numPr>
        <w:spacing w:after="70"/>
      </w:pPr>
      <w:r>
        <w:rPr>
          <w:rFonts w:ascii="Arial" w:cs="Arial" w:eastAsia="Arial" w:hAnsi="Arial"/>
          <w:b/>
          <w:bCs/>
          <w:sz w:val="22"/>
          <w:szCs w:val="22"/>
        </w:rPr>
        <w:t xml:space="preserve">The pressure. </w:t>
      </w:r>
      <w:r>
        <w:rPr>
          <w:rFonts w:ascii="Arial" w:cs="Arial" w:eastAsia="Arial" w:hAnsi="Arial"/>
          <w:sz w:val="22"/>
          <w:szCs w:val="22"/>
        </w:rPr>
        <w:t xml:space="preserve">The AE team went from two to six since August, with three more hires planned by year end and a target of 20 in 18 months. One human SDR and one AI SDR (inbound only) support the team.</w:t>
      </w:r>
    </w:p>
    <w:p>
      <w:pPr>
        <w:pStyle w:val="ListParagraph"/>
        <w:numPr>
          <w:ilvl w:val="0"/>
          <w:numId w:val="2"/>
        </w:numPr>
        <w:spacing w:after="70"/>
      </w:pPr>
      <w:r>
        <w:rPr>
          <w:rFonts w:ascii="Arial" w:cs="Arial" w:eastAsia="Arial" w:hAnsi="Arial"/>
          <w:b/>
          <w:bCs/>
          <w:sz w:val="22"/>
          <w:szCs w:val="22"/>
        </w:rPr>
        <w:t xml:space="preserve">The gap. </w:t>
      </w:r>
      <w:r>
        <w:rPr>
          <w:rFonts w:ascii="Arial" w:cs="Arial" w:eastAsia="Arial" w:hAnsi="Arial"/>
          <w:sz w:val="22"/>
          <w:szCs w:val="22"/>
        </w:rPr>
        <w:t xml:space="preserve">Outbound volume, custom buying signals, and a clean email sending setup. Wayne is unsure how HubSpot email was configured or warmed before he arrived.</w:t>
      </w:r>
    </w:p>
    <w:p>
      <w:pPr>
        <w:pStyle w:val="ListParagraph"/>
        <w:numPr>
          <w:ilvl w:val="0"/>
          <w:numId w:val="2"/>
        </w:numPr>
        <w:spacing w:after="70"/>
      </w:pPr>
      <w:r>
        <w:rPr>
          <w:rFonts w:ascii="Arial" w:cs="Arial" w:eastAsia="Arial" w:hAnsi="Arial"/>
          <w:b/>
          <w:bCs/>
          <w:sz w:val="22"/>
          <w:szCs w:val="22"/>
        </w:rPr>
        <w:t xml:space="preserve">The new opportunity. </w:t>
      </w:r>
      <w:r>
        <w:rPr>
          <w:rFonts w:ascii="Arial" w:cs="Arial" w:eastAsia="Arial" w:hAnsi="Arial"/>
          <w:sz w:val="22"/>
          <w:szCs w:val="22"/>
        </w:rPr>
        <w:t xml:space="preserve">A new message for IT and ERP owners ("Redlist gets the field data your ERP is missing") has not been tested in market yet, and IT is where company-wide rollouts stall.</w:t>
      </w:r>
    </w:p>
    <w:p>
      <w:pPr>
        <w:pStyle w:val="ListParagraph"/>
        <w:numPr>
          <w:ilvl w:val="0"/>
          <w:numId w:val="2"/>
        </w:numPr>
        <w:spacing w:after="70"/>
      </w:pPr>
      <w:r>
        <w:rPr>
          <w:rFonts w:ascii="Arial" w:cs="Arial" w:eastAsia="Arial" w:hAnsi="Arial"/>
          <w:b/>
          <w:bCs/>
          <w:sz w:val="22"/>
          <w:szCs w:val="22"/>
        </w:rPr>
        <w:t xml:space="preserve">The BuzzLead plan. </w:t>
      </w:r>
      <w:r>
        <w:rPr>
          <w:rFonts w:ascii="Arial" w:cs="Arial" w:eastAsia="Arial" w:hAnsi="Arial"/>
          <w:sz w:val="22"/>
          <w:szCs w:val="22"/>
        </w:rPr>
        <w:t xml:space="preserve">Two lookalike campaigns, two TAM campaigns split by buyer, and one high-intent signal program, run on BuzzLead infrastructure alongside the in-house Q4 build, with account monitoring routed to the AEs. Target at maturity: 10 to 20 qualified opportunities a month.</w:t>
      </w:r>
    </w:p>
    <w:p>
      <w:pPr>
        <w:pStyle w:val="Heading1"/>
        <w:pBdr>
          <w:bottom w:val="single" w:color="E4572E" w:sz="8" w:space="4"/>
        </w:pBdr>
        <w:spacing w:after="160" w:before="360"/>
      </w:pPr>
      <w:r>
        <w:rPr>
          <w:rFonts w:ascii="Arial" w:cs="Arial" w:eastAsia="Arial" w:hAnsi="Arial"/>
          <w:b/>
          <w:bCs/>
          <w:color w:val="0B1F3A"/>
          <w:sz w:val="32"/>
          <w:szCs w:val="32"/>
        </w:rPr>
        <w:t xml:space="preserve">2. The Opportunity and Deal Economics</w:t>
      </w:r>
    </w:p>
    <w:p>
      <w:pPr>
        <w:pStyle w:val="Heading2"/>
        <w:spacing w:after="100" w:before="240"/>
      </w:pPr>
      <w:r>
        <w:rPr>
          <w:rFonts w:ascii="Arial" w:cs="Arial" w:eastAsia="Arial" w:hAnsi="Arial"/>
          <w:b/>
          <w:bCs/>
          <w:color w:val="0B1F3A"/>
          <w:sz w:val="26"/>
          <w:szCs w:val="26"/>
        </w:rPr>
        <w:t xml:space="preserve">Understanding Redlist</w:t>
      </w:r>
    </w:p>
    <w:p>
      <w:pPr>
        <w:pStyle w:val="ListParagraph"/>
        <w:numPr>
          <w:ilvl w:val="0"/>
          <w:numId w:val="2"/>
        </w:numPr>
        <w:spacing w:after="70"/>
      </w:pPr>
      <w:r>
        <w:rPr>
          <w:rFonts w:ascii="Arial" w:cs="Arial" w:eastAsia="Arial" w:hAnsi="Arial"/>
          <w:sz w:val="22"/>
          <w:szCs w:val="22"/>
        </w:rPr>
        <w:t xml:space="preserve">Founded in 2014 and based in Pleasant Grove, Utah. Led by CEO and co-founder Talmage Wagstaff, President and co-founder John Keller, and CTO Logan Stinger.</w:t>
      </w:r>
    </w:p>
    <w:p>
      <w:pPr>
        <w:pStyle w:val="ListParagraph"/>
        <w:numPr>
          <w:ilvl w:val="0"/>
          <w:numId w:val="2"/>
        </w:numPr>
        <w:spacing w:after="70"/>
      </w:pPr>
      <w:r>
        <w:rPr>
          <w:rFonts w:ascii="Arial" w:cs="Arial" w:eastAsia="Arial" w:hAnsi="Arial"/>
          <w:sz w:val="22"/>
          <w:szCs w:val="22"/>
        </w:rPr>
        <w:t xml:space="preserve">Built on lubrication management, with mobile-first and offline capture, integrations into SAP, Oracle EAM, JDE, and Maximo, and an AI co-pilot named Redd.</w:t>
      </w:r>
    </w:p>
    <w:p>
      <w:pPr>
        <w:pStyle w:val="ListParagraph"/>
        <w:numPr>
          <w:ilvl w:val="0"/>
          <w:numId w:val="2"/>
        </w:numPr>
        <w:spacing w:after="70"/>
      </w:pPr>
      <w:r>
        <w:rPr>
          <w:rFonts w:ascii="Arial" w:cs="Arial" w:eastAsia="Arial" w:hAnsi="Arial"/>
          <w:sz w:val="22"/>
          <w:szCs w:val="22"/>
        </w:rPr>
        <w:t xml:space="preserve">Best customer today is Kinross (mining). They value the JDE integration and offline mobile capture for remote sites. Paper and pulp have been a long-time stronghold.</w:t>
      </w:r>
    </w:p>
    <w:p>
      <w:pPr>
        <w:pStyle w:val="ListParagraph"/>
        <w:numPr>
          <w:ilvl w:val="0"/>
          <w:numId w:val="2"/>
        </w:numPr>
        <w:spacing w:after="70"/>
      </w:pPr>
      <w:r>
        <w:rPr>
          <w:rFonts w:ascii="Arial" w:cs="Arial" w:eastAsia="Arial" w:hAnsi="Arial"/>
          <w:sz w:val="22"/>
          <w:szCs w:val="22"/>
        </w:rPr>
        <w:t xml:space="preserve">Typical buyer is a plant manager or maintenance leader with roughly $40K a year for a maintenance program. Maintenance teams are small (about nine people at a 500-person plant), so the economic buyer and the user are a short list.</w:t>
      </w:r>
    </w:p>
    <w:p>
      <w:pPr>
        <w:pStyle w:val="ListParagraph"/>
        <w:numPr>
          <w:ilvl w:val="0"/>
          <w:numId w:val="2"/>
        </w:numPr>
        <w:spacing w:after="70"/>
      </w:pPr>
      <w:r>
        <w:rPr>
          <w:rFonts w:ascii="Arial" w:cs="Arial" w:eastAsia="Arial" w:hAnsi="Arial"/>
          <w:sz w:val="22"/>
          <w:szCs w:val="22"/>
        </w:rPr>
        <w:t xml:space="preserve">Third-party estimates put headcount at 30 to 46 and show CSL Ventures as a Series A investor. These are directional, not confirmed by Redlist.</w:t>
      </w:r>
    </w:p>
    <w:p>
      <w:pPr>
        <w:pStyle w:val="Heading2"/>
        <w:spacing w:after="100" w:before="240"/>
      </w:pPr>
      <w:r>
        <w:rPr>
          <w:rFonts w:ascii="Arial" w:cs="Arial" w:eastAsia="Arial" w:hAnsi="Arial"/>
          <w:b/>
          <w:bCs/>
          <w:color w:val="0B1F3A"/>
          <w:sz w:val="26"/>
          <w:szCs w:val="26"/>
        </w:rPr>
        <w:t xml:space="preserve">Deal Economics</w:t>
      </w:r>
    </w:p>
    <w:p>
      <w:pPr>
        <w:pStyle w:val="ListParagraph"/>
        <w:numPr>
          <w:ilvl w:val="0"/>
          <w:numId w:val="2"/>
        </w:numPr>
        <w:spacing w:after="70"/>
      </w:pPr>
      <w:r>
        <w:rPr>
          <w:rFonts w:ascii="Arial" w:cs="Arial" w:eastAsia="Arial" w:hAnsi="Arial"/>
          <w:sz w:val="22"/>
          <w:szCs w:val="22"/>
        </w:rPr>
        <w:t xml:space="preserve">Average first-year contract value is about $40K, usually on three-year contracts (per Wayne on the call).</w:t>
      </w:r>
    </w:p>
    <w:p>
      <w:pPr>
        <w:pStyle w:val="ListParagraph"/>
        <w:numPr>
          <w:ilvl w:val="0"/>
          <w:numId w:val="2"/>
        </w:numPr>
        <w:spacing w:after="70"/>
      </w:pPr>
      <w:r>
        <w:rPr>
          <w:rFonts w:ascii="Arial" w:cs="Arial" w:eastAsia="Arial" w:hAnsi="Arial"/>
          <w:sz w:val="22"/>
          <w:szCs w:val="22"/>
        </w:rPr>
        <w:t xml:space="preserve">Pilot cost is $21,500 to $26,000 over four months. A single closed deal at $40K first-year value covers the full pilot. This is illustrative and assumes no specific close rate.</w:t>
      </w:r>
    </w:p>
    <w:p>
      <w:pPr>
        <w:pStyle w:val="ListParagraph"/>
        <w:numPr>
          <w:ilvl w:val="0"/>
          <w:numId w:val="2"/>
        </w:numPr>
        <w:spacing w:after="70"/>
      </w:pPr>
      <w:r>
        <w:rPr>
          <w:rFonts w:ascii="Arial" w:cs="Arial" w:eastAsia="Arial" w:hAnsi="Arial"/>
          <w:sz w:val="22"/>
          <w:szCs w:val="22"/>
        </w:rPr>
        <w:t xml:space="preserve">At steady state, 10 to 20 opportunities a month at $5,000 to $6,000 a month in fees works out to roughly $250 to $600 per opportunity.</w:t>
      </w:r>
    </w:p>
    <w:p>
      <w:pPr>
        <w:pStyle w:val="ListParagraph"/>
        <w:numPr>
          <w:ilvl w:val="0"/>
          <w:numId w:val="2"/>
        </w:numPr>
        <w:spacing w:after="70"/>
      </w:pPr>
      <w:r>
        <w:rPr>
          <w:rFonts w:ascii="Arial" w:cs="Arial" w:eastAsia="Arial" w:hAnsi="Arial"/>
          <w:sz w:val="22"/>
          <w:szCs w:val="22"/>
        </w:rPr>
        <w:t xml:space="preserve">Wayne's LinkedIn cost per lead is the missing comparison. He will send it before the next call so we can put both channels side by side.</w:t>
      </w:r>
    </w:p>
    <w:p>
      <w:pPr>
        <w:pStyle w:val="ListParagraph"/>
        <w:numPr>
          <w:ilvl w:val="0"/>
          <w:numId w:val="2"/>
        </w:numPr>
        <w:spacing w:after="70"/>
      </w:pPr>
      <w:r>
        <w:rPr>
          <w:rFonts w:ascii="Arial" w:cs="Arial" w:eastAsia="Arial" w:hAnsi="Arial"/>
          <w:sz w:val="22"/>
          <w:szCs w:val="22"/>
        </w:rPr>
        <w:t xml:space="preserve">Wayne said the pricing sits at the upper end of what he has gotten approved before. The pilot length and exit terms matter to him.</w:t>
      </w:r>
    </w:p>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100"/>
        <w:gridCol w:w="1100"/>
        <w:gridCol w:w="1500"/>
        <w:gridCol w:w="4160"/>
      </w:tblGrid>
      <w:tr>
        <w:trPr>
          <w:tblHeader/>
        </w:trPr>
        <w:tc>
          <w:tcPr>
            <w:tcW w:type="dxa" w:w="1500"/>
            <w:tcBorders>
              <w:top w:val="single" w:color="C9CED6" w:sz="4"/>
              <w:left w:val="single" w:color="C9CED6" w:sz="4"/>
              <w:bottom w:val="single" w:color="C9CED6" w:sz="4"/>
              <w:right w:val="single" w:color="C9CED6" w:sz="4"/>
            </w:tcBorders>
            <w:shd w:fill="0B1F3A" w:color="auto" w:val="clear"/>
            <w:tcMar>
              <w:top w:type="dxa" w:w="80"/>
              <w:left w:type="dxa" w:w="120"/>
              <w:bottom w:type="dxa" w:w="80"/>
              <w:right w:type="dxa" w:w="120"/>
            </w:tcMar>
          </w:tcPr>
          <w:p>
            <w:r>
              <w:rPr>
                <w:rFonts w:ascii="Arial" w:cs="Arial" w:eastAsia="Arial" w:hAnsi="Arial"/>
                <w:b/>
                <w:bCs/>
                <w:color w:val="FFFFFF"/>
                <w:sz w:val="20"/>
                <w:szCs w:val="20"/>
              </w:rPr>
              <w:t xml:space="preserve">Package</w:t>
            </w:r>
          </w:p>
        </w:tc>
        <w:tc>
          <w:tcPr>
            <w:tcW w:type="dxa" w:w="1100"/>
            <w:tcBorders>
              <w:top w:val="single" w:color="C9CED6" w:sz="4"/>
              <w:left w:val="single" w:color="C9CED6" w:sz="4"/>
              <w:bottom w:val="single" w:color="C9CED6" w:sz="4"/>
              <w:right w:val="single" w:color="C9CED6" w:sz="4"/>
            </w:tcBorders>
            <w:shd w:fill="0B1F3A" w:color="auto" w:val="clear"/>
            <w:tcMar>
              <w:top w:type="dxa" w:w="80"/>
              <w:left w:type="dxa" w:w="120"/>
              <w:bottom w:type="dxa" w:w="80"/>
              <w:right w:type="dxa" w:w="120"/>
            </w:tcMar>
          </w:tcPr>
          <w:p>
            <w:r>
              <w:rPr>
                <w:rFonts w:ascii="Arial" w:cs="Arial" w:eastAsia="Arial" w:hAnsi="Arial"/>
                <w:b/>
                <w:bCs/>
                <w:color w:val="FFFFFF"/>
                <w:sz w:val="20"/>
                <w:szCs w:val="20"/>
              </w:rPr>
              <w:t xml:space="preserve">Setup</w:t>
            </w:r>
          </w:p>
        </w:tc>
        <w:tc>
          <w:tcPr>
            <w:tcW w:type="dxa" w:w="1100"/>
            <w:tcBorders>
              <w:top w:val="single" w:color="C9CED6" w:sz="4"/>
              <w:left w:val="single" w:color="C9CED6" w:sz="4"/>
              <w:bottom w:val="single" w:color="C9CED6" w:sz="4"/>
              <w:right w:val="single" w:color="C9CED6" w:sz="4"/>
            </w:tcBorders>
            <w:shd w:fill="0B1F3A" w:color="auto" w:val="clear"/>
            <w:tcMar>
              <w:top w:type="dxa" w:w="80"/>
              <w:left w:type="dxa" w:w="120"/>
              <w:bottom w:type="dxa" w:w="80"/>
              <w:right w:type="dxa" w:w="120"/>
            </w:tcMar>
          </w:tcPr>
          <w:p>
            <w:r>
              <w:rPr>
                <w:rFonts w:ascii="Arial" w:cs="Arial" w:eastAsia="Arial" w:hAnsi="Arial"/>
                <w:b/>
                <w:bCs/>
                <w:color w:val="FFFFFF"/>
                <w:sz w:val="20"/>
                <w:szCs w:val="20"/>
              </w:rPr>
              <w:t xml:space="preserve">Monthly</w:t>
            </w:r>
          </w:p>
        </w:tc>
        <w:tc>
          <w:tcPr>
            <w:tcW w:type="dxa" w:w="1500"/>
            <w:tcBorders>
              <w:top w:val="single" w:color="C9CED6" w:sz="4"/>
              <w:left w:val="single" w:color="C9CED6" w:sz="4"/>
              <w:bottom w:val="single" w:color="C9CED6" w:sz="4"/>
              <w:right w:val="single" w:color="C9CED6" w:sz="4"/>
            </w:tcBorders>
            <w:shd w:fill="0B1F3A" w:color="auto" w:val="clear"/>
            <w:tcMar>
              <w:top w:type="dxa" w:w="80"/>
              <w:left w:type="dxa" w:w="120"/>
              <w:bottom w:type="dxa" w:w="80"/>
              <w:right w:type="dxa" w:w="120"/>
            </w:tcMar>
          </w:tcPr>
          <w:p>
            <w:r>
              <w:rPr>
                <w:rFonts w:ascii="Arial" w:cs="Arial" w:eastAsia="Arial" w:hAnsi="Arial"/>
                <w:b/>
                <w:bCs/>
                <w:color w:val="FFFFFF"/>
                <w:sz w:val="20"/>
                <w:szCs w:val="20"/>
              </w:rPr>
              <w:t xml:space="preserve">4-month total</w:t>
            </w:r>
          </w:p>
        </w:tc>
        <w:tc>
          <w:tcPr>
            <w:tcW w:type="dxa" w:w="4160"/>
            <w:tcBorders>
              <w:top w:val="single" w:color="C9CED6" w:sz="4"/>
              <w:left w:val="single" w:color="C9CED6" w:sz="4"/>
              <w:bottom w:val="single" w:color="C9CED6" w:sz="4"/>
              <w:right w:val="single" w:color="C9CED6" w:sz="4"/>
            </w:tcBorders>
            <w:shd w:fill="0B1F3A" w:color="auto" w:val="clear"/>
            <w:tcMar>
              <w:top w:type="dxa" w:w="80"/>
              <w:left w:type="dxa" w:w="120"/>
              <w:bottom w:type="dxa" w:w="80"/>
              <w:right w:type="dxa" w:w="120"/>
            </w:tcMar>
          </w:tcPr>
          <w:p>
            <w:r>
              <w:rPr>
                <w:rFonts w:ascii="Arial" w:cs="Arial" w:eastAsia="Arial" w:hAnsi="Arial"/>
                <w:b/>
                <w:bCs/>
                <w:color w:val="FFFFFF"/>
                <w:sz w:val="20"/>
                <w:szCs w:val="20"/>
              </w:rPr>
              <w:t xml:space="preserve">Includes</w:t>
            </w:r>
          </w:p>
        </w:tc>
      </w:tr>
      <w:tr>
        <w:tc>
          <w:tcPr>
            <w:tcW w:type="dxa" w:w="15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bCs/>
                <w:sz w:val="20"/>
                <w:szCs w:val="20"/>
              </w:rPr>
              <w:t xml:space="preserve">Minimum</w:t>
            </w:r>
          </w:p>
        </w:tc>
        <w:tc>
          <w:tcPr>
            <w:tcW w:type="dxa" w:w="11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$1,500</w:t>
            </w:r>
          </w:p>
        </w:tc>
        <w:tc>
          <w:tcPr>
            <w:tcW w:type="dxa" w:w="11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$5,000</w:t>
            </w:r>
          </w:p>
        </w:tc>
        <w:tc>
          <w:tcPr>
            <w:tcW w:type="dxa" w:w="15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$21,500</w:t>
            </w:r>
          </w:p>
        </w:tc>
        <w:tc>
          <w:tcPr>
            <w:tcW w:type="dxa" w:w="416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Cold email: infrastructure, TAM data, copy, reply handling, booking</w:t>
            </w:r>
          </w:p>
        </w:tc>
      </w:tr>
      <w:tr>
        <w:tc>
          <w:tcPr>
            <w:tcW w:type="dxa" w:w="15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bCs/>
                <w:sz w:val="20"/>
                <w:szCs w:val="20"/>
              </w:rPr>
              <w:t xml:space="preserve">Pro</w:t>
            </w:r>
          </w:p>
        </w:tc>
        <w:tc>
          <w:tcPr>
            <w:tcW w:type="dxa" w:w="11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$2,000</w:t>
            </w:r>
          </w:p>
        </w:tc>
        <w:tc>
          <w:tcPr>
            <w:tcW w:type="dxa" w:w="11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$6,000</w:t>
            </w:r>
          </w:p>
        </w:tc>
        <w:tc>
          <w:tcPr>
            <w:tcW w:type="dxa" w:w="15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$26,000</w:t>
            </w:r>
          </w:p>
        </w:tc>
        <w:tc>
          <w:tcPr>
            <w:tcW w:type="dxa" w:w="41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Adds HubSpot integration, warm calling, high-intent signal triggers</w:t>
            </w:r>
          </w:p>
        </w:tc>
      </w:tr>
      <w:tr>
        <w:tc>
          <w:tcPr>
            <w:tcW w:type="dxa" w:w="15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bCs/>
                <w:sz w:val="20"/>
                <w:szCs w:val="20"/>
              </w:rPr>
              <w:t xml:space="preserve">Enterprise</w:t>
            </w:r>
          </w:p>
        </w:tc>
        <w:tc>
          <w:tcPr>
            <w:tcW w:type="dxa" w:w="11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Custom</w:t>
            </w:r>
          </w:p>
        </w:tc>
        <w:tc>
          <w:tcPr>
            <w:tcW w:type="dxa" w:w="11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Custom</w:t>
            </w:r>
          </w:p>
        </w:tc>
        <w:tc>
          <w:tcPr>
            <w:tcW w:type="dxa" w:w="15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Custom</w:t>
            </w:r>
          </w:p>
        </w:tc>
        <w:tc>
          <w:tcPr>
            <w:tcW w:type="dxa" w:w="416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Adds LinkedIn outreach (up to 3 accounts) and a dedicated cold caller</w:t>
            </w:r>
          </w:p>
        </w:tc>
      </w:tr>
    </w:tbl>
    <w:p>
      <w:pPr>
        <w:spacing w:after="120" w:before="120"/>
      </w:pPr>
      <w:r>
        <w:rPr>
          <w:rFonts w:ascii="Arial" w:cs="Arial" w:eastAsia="Arial" w:hAnsi="Arial"/>
          <w:i/>
          <w:iCs/>
          <w:color w:val="5A6472"/>
          <w:sz w:val="22"/>
          <w:szCs w:val="22"/>
        </w:rPr>
        <w:t xml:space="preserve">Terms discussed: four-month pilot (three is possible) with a 14-day out clause.</w:t>
      </w:r>
    </w:p>
    <w:p>
      <w:pPr>
        <w:pStyle w:val="Heading1"/>
        <w:pBdr>
          <w:bottom w:val="single" w:color="E4572E" w:sz="8" w:space="4"/>
        </w:pBdr>
        <w:spacing w:after="160" w:before="360"/>
      </w:pPr>
      <w:r>
        <w:rPr>
          <w:rFonts w:ascii="Arial" w:cs="Arial" w:eastAsia="Arial" w:hAnsi="Arial"/>
          <w:b/>
          <w:bCs/>
          <w:color w:val="0B1F3A"/>
          <w:sz w:val="32"/>
          <w:szCs w:val="32"/>
        </w:rPr>
        <w:t xml:space="preserve">3. What We Know About Your Buyers</w:t>
      </w:r>
    </w:p>
    <w:p>
      <w:pPr>
        <w:spacing w:after="120"/>
      </w:pPr>
      <w:r>
        <w:rPr>
          <w:rFonts w:ascii="Arial" w:cs="Arial" w:eastAsia="Arial" w:hAnsi="Arial"/>
          <w:sz w:val="22"/>
          <w:szCs w:val="22"/>
        </w:rPr>
        <w:t xml:space="preserve">Two lookalike campaigns built from accounts Redlist already wins, two TAM campaigns that test every relevant persona across the core industries, and one high-intent program that watches for the strongest buying signals. All of it runs inside one monthly fee. Copy is written after voice-of-ICP research during onboarding, so none is included here.</w:t>
      </w:r>
    </w:p>
    <w:p>
      <w:pPr>
        <w:pStyle w:val="Heading2"/>
        <w:spacing w:after="100" w:before="240"/>
      </w:pPr>
      <w:r>
        <w:rPr>
          <w:rFonts w:ascii="Arial" w:cs="Arial" w:eastAsia="Arial" w:hAnsi="Arial"/>
          <w:b/>
          <w:bCs/>
          <w:color w:val="0B1F3A"/>
          <w:sz w:val="26"/>
          <w:szCs w:val="26"/>
        </w:rPr>
        <w:t xml:space="preserve">Lookalike campaigns</w:t>
      </w:r>
    </w:p>
    <w:p>
      <w:pPr>
        <w:spacing w:after="120"/>
      </w:pPr>
      <w:r>
        <w:rPr>
          <w:rFonts w:ascii="Arial" w:cs="Arial" w:eastAsia="Arial" w:hAnsi="Arial"/>
          <w:sz w:val="22"/>
          <w:szCs w:val="22"/>
        </w:rPr>
        <w:t xml:space="preserve">Modeled on the customers Redlist already wins. Quick wins, and a story a peer recognizes.</w:t>
      </w:r>
    </w:p>
    <w:p>
      <w:pPr>
        <w:pStyle w:val="Heading2"/>
        <w:spacing w:after="100" w:before="240"/>
      </w:pPr>
      <w:r>
        <w:rPr>
          <w:rFonts w:ascii="Arial" w:cs="Arial" w:eastAsia="Arial" w:hAnsi="Arial"/>
          <w:b/>
          <w:bCs/>
          <w:color w:val="0B1F3A"/>
          <w:sz w:val="26"/>
          <w:szCs w:val="26"/>
        </w:rPr>
        <w:t xml:space="preserve">LK1: Remote mining and heavy-industry sites</w:t>
      </w:r>
    </w:p>
    <w:p>
      <w:pPr>
        <w:spacing w:after="120"/>
      </w:pPr>
      <w:r>
        <w:rPr>
          <w:rFonts w:ascii="Arial" w:cs="Arial" w:eastAsia="Arial" w:hAnsi="Arial"/>
          <w:i/>
          <w:iCs/>
          <w:color w:val="5A6472"/>
          <w:sz w:val="22"/>
          <w:szCs w:val="22"/>
        </w:rPr>
        <w:t xml:space="preserve">Modeled on your strongest customer: a mining operator on JDE whose crews work outside coverage.</w:t>
      </w:r>
    </w:p>
    <w:p>
      <w:pPr>
        <w:spacing w:after="60" w:before="160"/>
      </w:pPr>
      <w:r>
        <w:rPr>
          <w:rFonts w:ascii="Arial" w:cs="Arial" w:eastAsia="Arial" w:hAnsi="Arial"/>
          <w:b/>
          <w:bCs/>
          <w:color w:val="E4572E"/>
          <w:spacing w:val="40"/>
          <w:sz w:val="20"/>
          <w:szCs w:val="20"/>
        </w:rPr>
        <w:t xml:space="preserve">PROFILE</w:t>
      </w:r>
    </w:p>
    <w:p>
      <w:pPr>
        <w:pStyle w:val="ListParagraph"/>
        <w:numPr>
          <w:ilvl w:val="0"/>
          <w:numId w:val="2"/>
        </w:numPr>
        <w:spacing w:after="70"/>
      </w:pPr>
      <w:r>
        <w:rPr>
          <w:rFonts w:ascii="Arial" w:cs="Arial" w:eastAsia="Arial" w:hAnsi="Arial"/>
          <w:b/>
          <w:bCs/>
          <w:sz w:val="22"/>
          <w:szCs w:val="22"/>
        </w:rPr>
        <w:t xml:space="preserve">Personas: </w:t>
      </w:r>
      <w:r>
        <w:rPr>
          <w:rFonts w:ascii="Arial" w:cs="Arial" w:eastAsia="Arial" w:hAnsi="Arial"/>
          <w:sz w:val="22"/>
          <w:szCs w:val="22"/>
        </w:rPr>
        <w:t xml:space="preserve">Maintenance Manager, Reliability Manager, Maintenance Superintendent, Plant Manager</w:t>
      </w:r>
    </w:p>
    <w:p>
      <w:pPr>
        <w:pStyle w:val="ListParagraph"/>
        <w:numPr>
          <w:ilvl w:val="0"/>
          <w:numId w:val="2"/>
        </w:numPr>
        <w:spacing w:after="70"/>
      </w:pPr>
      <w:r>
        <w:rPr>
          <w:rFonts w:ascii="Arial" w:cs="Arial" w:eastAsia="Arial" w:hAnsi="Arial"/>
          <w:b/>
          <w:bCs/>
          <w:sz w:val="22"/>
          <w:szCs w:val="22"/>
        </w:rPr>
        <w:t xml:space="preserve">Companies: </w:t>
      </w:r>
      <w:r>
        <w:rPr>
          <w:rFonts w:ascii="Arial" w:cs="Arial" w:eastAsia="Arial" w:hAnsi="Arial"/>
          <w:sz w:val="22"/>
          <w:szCs w:val="22"/>
        </w:rPr>
        <w:t xml:space="preserve">Mining, aggregates, and heavy-industry operators with remote or large sites, mid-market to enterprise, ideally on JDE or SAP</w:t>
      </w:r>
    </w:p>
    <w:p>
      <w:pPr>
        <w:pStyle w:val="ListParagraph"/>
        <w:numPr>
          <w:ilvl w:val="0"/>
          <w:numId w:val="2"/>
        </w:numPr>
        <w:spacing w:after="70"/>
      </w:pPr>
      <w:r>
        <w:rPr>
          <w:rFonts w:ascii="Arial" w:cs="Arial" w:eastAsia="Arial" w:hAnsi="Arial"/>
          <w:b/>
          <w:bCs/>
          <w:sz w:val="22"/>
          <w:szCs w:val="22"/>
        </w:rPr>
        <w:t xml:space="preserve">Data: </w:t>
      </w:r>
      <w:r>
        <w:rPr>
          <w:rFonts w:ascii="Arial" w:cs="Arial" w:eastAsia="Arial" w:hAnsi="Arial"/>
          <w:sz w:val="22"/>
          <w:szCs w:val="22"/>
        </w:rPr>
        <w:t xml:space="preserve">Operator lists matched on site remoteness and ERP stack from job posts and tech-stack data</w:t>
      </w:r>
    </w:p>
    <w:p>
      <w:pPr>
        <w:spacing w:after="60" w:before="160"/>
      </w:pPr>
      <w:r>
        <w:rPr>
          <w:rFonts w:ascii="Arial" w:cs="Arial" w:eastAsia="Arial" w:hAnsi="Arial"/>
          <w:b/>
          <w:bCs/>
          <w:color w:val="E4572E"/>
          <w:spacing w:val="40"/>
          <w:sz w:val="20"/>
          <w:szCs w:val="20"/>
        </w:rPr>
        <w:t xml:space="preserve">PAIN POINTS</w:t>
      </w:r>
    </w:p>
    <w:p>
      <w:pPr>
        <w:pStyle w:val="ListParagraph"/>
        <w:numPr>
          <w:ilvl w:val="0"/>
          <w:numId w:val="2"/>
        </w:numPr>
        <w:spacing w:after="70"/>
      </w:pPr>
      <w:r>
        <w:rPr>
          <w:rFonts w:ascii="Arial" w:cs="Arial" w:eastAsia="Arial" w:hAnsi="Arial"/>
          <w:sz w:val="22"/>
          <w:szCs w:val="22"/>
        </w:rPr>
        <w:t xml:space="preserve">Rounds get written on paper when the signal drops, then re-keyed days later</w:t>
      </w:r>
    </w:p>
    <w:p>
      <w:pPr>
        <w:pStyle w:val="ListParagraph"/>
        <w:numPr>
          <w:ilvl w:val="0"/>
          <w:numId w:val="2"/>
        </w:numPr>
        <w:spacing w:after="70"/>
      </w:pPr>
      <w:r>
        <w:rPr>
          <w:rFonts w:ascii="Arial" w:cs="Arial" w:eastAsia="Arial" w:hAnsi="Arial"/>
          <w:sz w:val="22"/>
          <w:szCs w:val="22"/>
        </w:rPr>
        <w:t xml:space="preserve">Field data reaches the ERP late or never, so leadership reports on stale numbers</w:t>
      </w:r>
    </w:p>
    <w:p>
      <w:pPr>
        <w:pStyle w:val="ListParagraph"/>
        <w:numPr>
          <w:ilvl w:val="0"/>
          <w:numId w:val="2"/>
        </w:numPr>
        <w:spacing w:after="70"/>
      </w:pPr>
      <w:r>
        <w:rPr>
          <w:rFonts w:ascii="Arial" w:cs="Arial" w:eastAsia="Arial" w:hAnsi="Arial"/>
          <w:sz w:val="22"/>
          <w:szCs w:val="22"/>
        </w:rPr>
        <w:t xml:space="preserve">Veteran technicians retiring with the plant in their heads</w:t>
      </w:r>
    </w:p>
    <w:p>
      <w:pPr>
        <w:spacing w:after="60" w:before="160"/>
      </w:pPr>
      <w:r>
        <w:rPr>
          <w:rFonts w:ascii="Arial" w:cs="Arial" w:eastAsia="Arial" w:hAnsi="Arial"/>
          <w:b/>
          <w:bCs/>
          <w:color w:val="E4572E"/>
          <w:spacing w:val="40"/>
          <w:sz w:val="20"/>
          <w:szCs w:val="20"/>
        </w:rPr>
        <w:t xml:space="preserve">WHY THEY'LL REPLY</w:t>
      </w:r>
    </w:p>
    <w:p>
      <w:pPr>
        <w:spacing w:after="120"/>
      </w:pPr>
      <w:r>
        <w:rPr>
          <w:rFonts w:ascii="Arial" w:cs="Arial" w:eastAsia="Arial" w:hAnsi="Arial"/>
          <w:sz w:val="22"/>
          <w:szCs w:val="22"/>
        </w:rPr>
        <w:t xml:space="preserve">A peer in their industry solved the same offline and ERP problem. We lead with offline capture and ERP sync, the two things that won the account you have.</w:t>
      </w:r>
    </w:p>
    <w:p>
      <w:pPr>
        <w:spacing w:after="60" w:before="160"/>
      </w:pPr>
      <w:r>
        <w:rPr>
          <w:rFonts w:ascii="Arial" w:cs="Arial" w:eastAsia="Arial" w:hAnsi="Arial"/>
          <w:b/>
          <w:bCs/>
          <w:color w:val="E4572E"/>
          <w:spacing w:val="40"/>
          <w:sz w:val="20"/>
          <w:szCs w:val="20"/>
        </w:rPr>
        <w:t xml:space="preserve">PROOF WE LEAN ON</w:t>
      </w:r>
    </w:p>
    <w:p>
      <w:pPr>
        <w:spacing w:after="120"/>
      </w:pPr>
      <w:r>
        <w:rPr>
          <w:rFonts w:ascii="Arial" w:cs="Arial" w:eastAsia="Arial" w:hAnsi="Arial"/>
          <w:sz w:val="22"/>
          <w:szCs w:val="22"/>
        </w:rPr>
        <w:t xml:space="preserve">Redlist runs the full route offline on phones and tablets and syncs with SAP, Oracle EAM, JDE, and Maximo.</w:t>
      </w:r>
    </w:p>
    <w:p>
      <w:pPr>
        <w:spacing w:after="60" w:before="160"/>
      </w:pPr>
      <w:r>
        <w:rPr>
          <w:rFonts w:ascii="Arial" w:cs="Arial" w:eastAsia="Arial" w:hAnsi="Arial"/>
          <w:b/>
          <w:bCs/>
          <w:color w:val="E4572E"/>
          <w:spacing w:val="40"/>
          <w:sz w:val="20"/>
          <w:szCs w:val="20"/>
        </w:rPr>
        <w:t xml:space="preserve">TRIGGER EVENTS</w:t>
      </w:r>
    </w:p>
    <w:p>
      <w:pPr>
        <w:pStyle w:val="ListParagraph"/>
        <w:numPr>
          <w:ilvl w:val="0"/>
          <w:numId w:val="2"/>
        </w:numPr>
        <w:spacing w:after="70"/>
      </w:pPr>
      <w:r>
        <w:rPr>
          <w:rFonts w:ascii="Arial" w:cs="Arial" w:eastAsia="Arial" w:hAnsi="Arial"/>
          <w:sz w:val="22"/>
          <w:szCs w:val="22"/>
        </w:rPr>
        <w:t xml:space="preserve">New mine, pit, or site expansion</w:t>
      </w:r>
    </w:p>
    <w:p>
      <w:pPr>
        <w:pStyle w:val="ListParagraph"/>
        <w:numPr>
          <w:ilvl w:val="0"/>
          <w:numId w:val="2"/>
        </w:numPr>
        <w:spacing w:after="70"/>
      </w:pPr>
      <w:r>
        <w:rPr>
          <w:rFonts w:ascii="Arial" w:cs="Arial" w:eastAsia="Arial" w:hAnsi="Arial"/>
          <w:sz w:val="22"/>
          <w:szCs w:val="22"/>
        </w:rPr>
        <w:t xml:space="preserve">Plant manager or maintenance leader job post</w:t>
      </w:r>
    </w:p>
    <w:p>
      <w:pPr>
        <w:pStyle w:val="ListParagraph"/>
        <w:numPr>
          <w:ilvl w:val="0"/>
          <w:numId w:val="2"/>
        </w:numPr>
        <w:spacing w:after="70"/>
      </w:pPr>
      <w:r>
        <w:rPr>
          <w:rFonts w:ascii="Arial" w:cs="Arial" w:eastAsia="Arial" w:hAnsi="Arial"/>
          <w:sz w:val="22"/>
          <w:szCs w:val="22"/>
        </w:rPr>
        <w:t xml:space="preserve">JDE or SAP upgrade announced</w:t>
      </w:r>
    </w:p>
    <w:p>
      <w:pPr>
        <w:spacing w:after="120"/>
      </w:pPr>
    </w:p>
    <w:p>
      <w:pPr>
        <w:pStyle w:val="Heading2"/>
        <w:spacing w:after="100" w:before="240"/>
      </w:pPr>
      <w:r>
        <w:rPr>
          <w:rFonts w:ascii="Arial" w:cs="Arial" w:eastAsia="Arial" w:hAnsi="Arial"/>
          <w:b/>
          <w:bCs/>
          <w:color w:val="0B1F3A"/>
          <w:sz w:val="26"/>
          <w:szCs w:val="26"/>
        </w:rPr>
        <w:t xml:space="preserve">LK2: Pulp, paper, and wood products plants</w:t>
      </w:r>
    </w:p>
    <w:p>
      <w:pPr>
        <w:spacing w:after="120"/>
      </w:pPr>
      <w:r>
        <w:rPr>
          <w:rFonts w:ascii="Arial" w:cs="Arial" w:eastAsia="Arial" w:hAnsi="Arial"/>
          <w:i/>
          <w:iCs/>
          <w:color w:val="5A6472"/>
          <w:sz w:val="22"/>
          <w:szCs w:val="22"/>
        </w:rPr>
        <w:t xml:space="preserve">Modeled on your traditional stronghold and your most quotable result.</w:t>
      </w:r>
    </w:p>
    <w:p>
      <w:pPr>
        <w:spacing w:after="60" w:before="160"/>
      </w:pPr>
      <w:r>
        <w:rPr>
          <w:rFonts w:ascii="Arial" w:cs="Arial" w:eastAsia="Arial" w:hAnsi="Arial"/>
          <w:b/>
          <w:bCs/>
          <w:color w:val="E4572E"/>
          <w:spacing w:val="40"/>
          <w:sz w:val="20"/>
          <w:szCs w:val="20"/>
        </w:rPr>
        <w:t xml:space="preserve">PROFILE</w:t>
      </w:r>
    </w:p>
    <w:p>
      <w:pPr>
        <w:pStyle w:val="ListParagraph"/>
        <w:numPr>
          <w:ilvl w:val="0"/>
          <w:numId w:val="2"/>
        </w:numPr>
        <w:spacing w:after="70"/>
      </w:pPr>
      <w:r>
        <w:rPr>
          <w:rFonts w:ascii="Arial" w:cs="Arial" w:eastAsia="Arial" w:hAnsi="Arial"/>
          <w:b/>
          <w:bCs/>
          <w:sz w:val="22"/>
          <w:szCs w:val="22"/>
        </w:rPr>
        <w:t xml:space="preserve">Personas: </w:t>
      </w:r>
      <w:r>
        <w:rPr>
          <w:rFonts w:ascii="Arial" w:cs="Arial" w:eastAsia="Arial" w:hAnsi="Arial"/>
          <w:sz w:val="22"/>
          <w:szCs w:val="22"/>
        </w:rPr>
        <w:t xml:space="preserve">Mill Manager, Plant Manager, Reliability Manager, Maintenance Manager</w:t>
      </w:r>
    </w:p>
    <w:p>
      <w:pPr>
        <w:pStyle w:val="ListParagraph"/>
        <w:numPr>
          <w:ilvl w:val="0"/>
          <w:numId w:val="2"/>
        </w:numPr>
        <w:spacing w:after="70"/>
      </w:pPr>
      <w:r>
        <w:rPr>
          <w:rFonts w:ascii="Arial" w:cs="Arial" w:eastAsia="Arial" w:hAnsi="Arial"/>
          <w:b/>
          <w:bCs/>
          <w:sz w:val="22"/>
          <w:szCs w:val="22"/>
        </w:rPr>
        <w:t xml:space="preserve">Companies: </w:t>
      </w:r>
      <w:r>
        <w:rPr>
          <w:rFonts w:ascii="Arial" w:cs="Arial" w:eastAsia="Arial" w:hAnsi="Arial"/>
          <w:sz w:val="22"/>
          <w:szCs w:val="22"/>
        </w:rPr>
        <w:t xml:space="preserve">Large or multi-site mills and plants, 500+ employees, small maintenance teams</w:t>
      </w:r>
    </w:p>
    <w:p>
      <w:pPr>
        <w:pStyle w:val="ListParagraph"/>
        <w:numPr>
          <w:ilvl w:val="0"/>
          <w:numId w:val="2"/>
        </w:numPr>
        <w:spacing w:after="70"/>
      </w:pPr>
      <w:r>
        <w:rPr>
          <w:rFonts w:ascii="Arial" w:cs="Arial" w:eastAsia="Arial" w:hAnsi="Arial"/>
          <w:b/>
          <w:bCs/>
          <w:sz w:val="22"/>
          <w:szCs w:val="22"/>
        </w:rPr>
        <w:t xml:space="preserve">Data: </w:t>
      </w:r>
      <w:r>
        <w:rPr>
          <w:rFonts w:ascii="Arial" w:cs="Arial" w:eastAsia="Arial" w:hAnsi="Arial"/>
          <w:sz w:val="22"/>
          <w:szCs w:val="22"/>
        </w:rPr>
        <w:t xml:space="preserve">Mill and plant lists by subsector, employee count, and plant count</w:t>
      </w:r>
    </w:p>
    <w:p>
      <w:pPr>
        <w:spacing w:after="60" w:before="160"/>
      </w:pPr>
      <w:r>
        <w:rPr>
          <w:rFonts w:ascii="Arial" w:cs="Arial" w:eastAsia="Arial" w:hAnsi="Arial"/>
          <w:b/>
          <w:bCs/>
          <w:color w:val="E4572E"/>
          <w:spacing w:val="40"/>
          <w:sz w:val="20"/>
          <w:szCs w:val="20"/>
        </w:rPr>
        <w:t xml:space="preserve">PAIN POINTS</w:t>
      </w:r>
    </w:p>
    <w:p>
      <w:pPr>
        <w:pStyle w:val="ListParagraph"/>
        <w:numPr>
          <w:ilvl w:val="0"/>
          <w:numId w:val="2"/>
        </w:numPr>
        <w:spacing w:after="70"/>
      </w:pPr>
      <w:r>
        <w:rPr>
          <w:rFonts w:ascii="Arial" w:cs="Arial" w:eastAsia="Arial" w:hAnsi="Arial"/>
          <w:sz w:val="22"/>
          <w:szCs w:val="22"/>
        </w:rPr>
        <w:t xml:space="preserve">Unplanned downtime priced in thousands of dollars per hour</w:t>
      </w:r>
    </w:p>
    <w:p>
      <w:pPr>
        <w:pStyle w:val="ListParagraph"/>
        <w:numPr>
          <w:ilvl w:val="0"/>
          <w:numId w:val="2"/>
        </w:numPr>
        <w:spacing w:after="70"/>
      </w:pPr>
      <w:r>
        <w:rPr>
          <w:rFonts w:ascii="Arial" w:cs="Arial" w:eastAsia="Arial" w:hAnsi="Arial"/>
          <w:sz w:val="22"/>
          <w:szCs w:val="22"/>
        </w:rPr>
        <w:t xml:space="preserve">One missed grease point starts the failure chain</w:t>
      </w:r>
    </w:p>
    <w:p>
      <w:pPr>
        <w:pStyle w:val="ListParagraph"/>
        <w:numPr>
          <w:ilvl w:val="0"/>
          <w:numId w:val="2"/>
        </w:numPr>
        <w:spacing w:after="70"/>
      </w:pPr>
      <w:r>
        <w:rPr>
          <w:rFonts w:ascii="Arial" w:cs="Arial" w:eastAsia="Arial" w:hAnsi="Arial"/>
          <w:sz w:val="22"/>
          <w:szCs w:val="22"/>
        </w:rPr>
        <w:t xml:space="preserve">No proof the PM was done on the right asset, on time</w:t>
      </w:r>
    </w:p>
    <w:p>
      <w:pPr>
        <w:spacing w:after="60" w:before="160"/>
      </w:pPr>
      <w:r>
        <w:rPr>
          <w:rFonts w:ascii="Arial" w:cs="Arial" w:eastAsia="Arial" w:hAnsi="Arial"/>
          <w:b/>
          <w:bCs/>
          <w:color w:val="E4572E"/>
          <w:spacing w:val="40"/>
          <w:sz w:val="20"/>
          <w:szCs w:val="20"/>
        </w:rPr>
        <w:t xml:space="preserve">WHY THEY'LL REPLY</w:t>
      </w:r>
    </w:p>
    <w:p>
      <w:pPr>
        <w:spacing w:after="120"/>
      </w:pPr>
      <w:r>
        <w:rPr>
          <w:rFonts w:ascii="Arial" w:cs="Arial" w:eastAsia="Arial" w:hAnsi="Arial"/>
          <w:sz w:val="22"/>
          <w:szCs w:val="22"/>
        </w:rPr>
        <w:t xml:space="preserve">Downtime has a dollar figure attached, and a peer has already put a number on it. A plant manager can take that number to their own boss.</w:t>
      </w:r>
    </w:p>
    <w:p>
      <w:pPr>
        <w:spacing w:after="60" w:before="160"/>
      </w:pPr>
      <w:r>
        <w:rPr>
          <w:rFonts w:ascii="Arial" w:cs="Arial" w:eastAsia="Arial" w:hAnsi="Arial"/>
          <w:b/>
          <w:bCs/>
          <w:color w:val="E4572E"/>
          <w:spacing w:val="40"/>
          <w:sz w:val="20"/>
          <w:szCs w:val="20"/>
        </w:rPr>
        <w:t xml:space="preserve">PROOF WE LEAN ON</w:t>
      </w:r>
    </w:p>
    <w:p>
      <w:pPr>
        <w:spacing w:after="120"/>
      </w:pPr>
      <w:r>
        <w:rPr>
          <w:rFonts w:ascii="Arial" w:cs="Arial" w:eastAsia="Arial" w:hAnsi="Arial"/>
          <w:sz w:val="22"/>
          <w:szCs w:val="22"/>
        </w:rPr>
        <w:t xml:space="preserve">A wood products company with nearly 5,000 employees and 20 plants across 13 states saved $5,000 per hour of equipment downtime with Redlist.</w:t>
      </w:r>
    </w:p>
    <w:p>
      <w:pPr>
        <w:spacing w:after="60" w:before="160"/>
      </w:pPr>
      <w:r>
        <w:rPr>
          <w:rFonts w:ascii="Arial" w:cs="Arial" w:eastAsia="Arial" w:hAnsi="Arial"/>
          <w:b/>
          <w:bCs/>
          <w:color w:val="E4572E"/>
          <w:spacing w:val="40"/>
          <w:sz w:val="20"/>
          <w:szCs w:val="20"/>
        </w:rPr>
        <w:t xml:space="preserve">TRIGGER EVENTS</w:t>
      </w:r>
    </w:p>
    <w:p>
      <w:pPr>
        <w:pStyle w:val="ListParagraph"/>
        <w:numPr>
          <w:ilvl w:val="0"/>
          <w:numId w:val="2"/>
        </w:numPr>
        <w:spacing w:after="70"/>
      </w:pPr>
      <w:r>
        <w:rPr>
          <w:rFonts w:ascii="Arial" w:cs="Arial" w:eastAsia="Arial" w:hAnsi="Arial"/>
          <w:sz w:val="22"/>
          <w:szCs w:val="22"/>
        </w:rPr>
        <w:t xml:space="preserve">New mill or plant manager hire</w:t>
      </w:r>
    </w:p>
    <w:p>
      <w:pPr>
        <w:pStyle w:val="ListParagraph"/>
        <w:numPr>
          <w:ilvl w:val="0"/>
          <w:numId w:val="2"/>
        </w:numPr>
        <w:spacing w:after="70"/>
      </w:pPr>
      <w:r>
        <w:rPr>
          <w:rFonts w:ascii="Arial" w:cs="Arial" w:eastAsia="Arial" w:hAnsi="Arial"/>
          <w:sz w:val="22"/>
          <w:szCs w:val="22"/>
        </w:rPr>
        <w:t xml:space="preserve">Recent downtime, fire, or safety incident</w:t>
      </w:r>
    </w:p>
    <w:p>
      <w:pPr>
        <w:pStyle w:val="ListParagraph"/>
        <w:numPr>
          <w:ilvl w:val="0"/>
          <w:numId w:val="2"/>
        </w:numPr>
        <w:spacing w:after="70"/>
      </w:pPr>
      <w:r>
        <w:rPr>
          <w:rFonts w:ascii="Arial" w:cs="Arial" w:eastAsia="Arial" w:hAnsi="Arial"/>
          <w:sz w:val="22"/>
          <w:szCs w:val="22"/>
        </w:rPr>
        <w:t xml:space="preserve">Capital project or line expansion</w:t>
      </w:r>
    </w:p>
    <w:p>
      <w:pPr>
        <w:spacing w:after="120"/>
      </w:pPr>
    </w:p>
    <w:p>
      <w:pPr>
        <w:pStyle w:val="Heading2"/>
        <w:spacing w:after="100" w:before="240"/>
      </w:pPr>
      <w:r>
        <w:rPr>
          <w:rFonts w:ascii="Arial" w:cs="Arial" w:eastAsia="Arial" w:hAnsi="Arial"/>
          <w:b/>
          <w:bCs/>
          <w:color w:val="0B1F3A"/>
          <w:sz w:val="26"/>
          <w:szCs w:val="26"/>
        </w:rPr>
        <w:t xml:space="preserve">TAM campaigns</w:t>
      </w:r>
    </w:p>
    <w:p>
      <w:pPr>
        <w:spacing w:after="120"/>
      </w:pPr>
      <w:r>
        <w:rPr>
          <w:rFonts w:ascii="Arial" w:cs="Arial" w:eastAsia="Arial" w:hAnsi="Arial"/>
          <w:sz w:val="22"/>
          <w:szCs w:val="22"/>
        </w:rPr>
        <w:t xml:space="preserve">Volume across the full market, split by buyer. Finds which industry and persona respond, then scales into the winners.</w:t>
      </w:r>
    </w:p>
    <w:p>
      <w:pPr>
        <w:pStyle w:val="Heading2"/>
        <w:spacing w:after="100" w:before="240"/>
      </w:pPr>
      <w:r>
        <w:rPr>
          <w:rFonts w:ascii="Arial" w:cs="Arial" w:eastAsia="Arial" w:hAnsi="Arial"/>
          <w:b/>
          <w:bCs/>
          <w:color w:val="0B1F3A"/>
          <w:sz w:val="26"/>
          <w:szCs w:val="26"/>
        </w:rPr>
        <w:t xml:space="preserve">TM1: Plant-floor leaders across manufacturing, metals, and oil and gas</w:t>
      </w:r>
    </w:p>
    <w:p>
      <w:pPr>
        <w:spacing w:after="120"/>
      </w:pPr>
      <w:r>
        <w:rPr>
          <w:rFonts w:ascii="Arial" w:cs="Arial" w:eastAsia="Arial" w:hAnsi="Arial"/>
          <w:i/>
          <w:iCs/>
          <w:color w:val="5A6472"/>
          <w:sz w:val="22"/>
          <w:szCs w:val="22"/>
        </w:rPr>
        <w:t xml:space="preserve">The volume campaign. It tests which industry and which persona responds fastest, then scales into the winners.</w:t>
      </w:r>
    </w:p>
    <w:p>
      <w:pPr>
        <w:spacing w:after="60" w:before="160"/>
      </w:pPr>
      <w:r>
        <w:rPr>
          <w:rFonts w:ascii="Arial" w:cs="Arial" w:eastAsia="Arial" w:hAnsi="Arial"/>
          <w:b/>
          <w:bCs/>
          <w:color w:val="E4572E"/>
          <w:spacing w:val="40"/>
          <w:sz w:val="20"/>
          <w:szCs w:val="20"/>
        </w:rPr>
        <w:t xml:space="preserve">PROFILE</w:t>
      </w:r>
    </w:p>
    <w:p>
      <w:pPr>
        <w:pStyle w:val="ListParagraph"/>
        <w:numPr>
          <w:ilvl w:val="0"/>
          <w:numId w:val="2"/>
        </w:numPr>
        <w:spacing w:after="70"/>
      </w:pPr>
      <w:r>
        <w:rPr>
          <w:rFonts w:ascii="Arial" w:cs="Arial" w:eastAsia="Arial" w:hAnsi="Arial"/>
          <w:b/>
          <w:bCs/>
          <w:sz w:val="22"/>
          <w:szCs w:val="22"/>
        </w:rPr>
        <w:t xml:space="preserve">Personas: </w:t>
      </w:r>
      <w:r>
        <w:rPr>
          <w:rFonts w:ascii="Arial" w:cs="Arial" w:eastAsia="Arial" w:hAnsi="Arial"/>
          <w:sz w:val="22"/>
          <w:szCs w:val="22"/>
        </w:rPr>
        <w:t xml:space="preserve">Maintenance Manager, Reliability Engineer, Maintenance Planner, Plant Manager, VP of Operations, EHS Manager</w:t>
      </w:r>
    </w:p>
    <w:p>
      <w:pPr>
        <w:pStyle w:val="ListParagraph"/>
        <w:numPr>
          <w:ilvl w:val="0"/>
          <w:numId w:val="2"/>
        </w:numPr>
        <w:spacing w:after="70"/>
      </w:pPr>
      <w:r>
        <w:rPr>
          <w:rFonts w:ascii="Arial" w:cs="Arial" w:eastAsia="Arial" w:hAnsi="Arial"/>
          <w:b/>
          <w:bCs/>
          <w:sz w:val="22"/>
          <w:szCs w:val="22"/>
        </w:rPr>
        <w:t xml:space="preserve">Companies: </w:t>
      </w:r>
      <w:r>
        <w:rPr>
          <w:rFonts w:ascii="Arial" w:cs="Arial" w:eastAsia="Arial" w:hAnsi="Arial"/>
          <w:sz w:val="22"/>
          <w:szCs w:val="22"/>
        </w:rPr>
        <w:t xml:space="preserve">Asset-intensive plants and facilities with 500+ employees across general manufacturing, steel and metals, and oil and gas</w:t>
      </w:r>
    </w:p>
    <w:p>
      <w:pPr>
        <w:pStyle w:val="ListParagraph"/>
        <w:numPr>
          <w:ilvl w:val="0"/>
          <w:numId w:val="2"/>
        </w:numPr>
        <w:spacing w:after="70"/>
      </w:pPr>
      <w:r>
        <w:rPr>
          <w:rFonts w:ascii="Arial" w:cs="Arial" w:eastAsia="Arial" w:hAnsi="Arial"/>
          <w:b/>
          <w:bCs/>
          <w:sz w:val="22"/>
          <w:szCs w:val="22"/>
        </w:rPr>
        <w:t xml:space="preserve">Data: </w:t>
      </w:r>
      <w:r>
        <w:rPr>
          <w:rFonts w:ascii="Arial" w:cs="Arial" w:eastAsia="Arial" w:hAnsi="Arial"/>
          <w:sz w:val="22"/>
          <w:szCs w:val="22"/>
        </w:rPr>
        <w:t xml:space="preserve">Full-market plant lists by subsector and size, with LinkedIn tenure data on maintenance leaders</w:t>
      </w:r>
    </w:p>
    <w:p>
      <w:pPr>
        <w:spacing w:after="60" w:before="160"/>
      </w:pPr>
      <w:r>
        <w:rPr>
          <w:rFonts w:ascii="Arial" w:cs="Arial" w:eastAsia="Arial" w:hAnsi="Arial"/>
          <w:b/>
          <w:bCs/>
          <w:color w:val="E4572E"/>
          <w:spacing w:val="40"/>
          <w:sz w:val="20"/>
          <w:szCs w:val="20"/>
        </w:rPr>
        <w:t xml:space="preserve">PAIN POINTS</w:t>
      </w:r>
    </w:p>
    <w:p>
      <w:pPr>
        <w:pStyle w:val="ListParagraph"/>
        <w:numPr>
          <w:ilvl w:val="0"/>
          <w:numId w:val="2"/>
        </w:numPr>
        <w:spacing w:after="70"/>
      </w:pPr>
      <w:r>
        <w:rPr>
          <w:rFonts w:ascii="Arial" w:cs="Arial" w:eastAsia="Arial" w:hAnsi="Arial"/>
          <w:sz w:val="22"/>
          <w:szCs w:val="22"/>
        </w:rPr>
        <w:t xml:space="preserve">The CMMS says the PM closed, but not that the right lubricant went into the right point</w:t>
      </w:r>
    </w:p>
    <w:p>
      <w:pPr>
        <w:pStyle w:val="ListParagraph"/>
        <w:numPr>
          <w:ilvl w:val="0"/>
          <w:numId w:val="2"/>
        </w:numPr>
        <w:spacing w:after="70"/>
      </w:pPr>
      <w:r>
        <w:rPr>
          <w:rFonts w:ascii="Arial" w:cs="Arial" w:eastAsia="Arial" w:hAnsi="Arial"/>
          <w:sz w:val="22"/>
          <w:szCs w:val="22"/>
        </w:rPr>
        <w:t xml:space="preserve">The retiring crew knows the route and nothing written down replaces them</w:t>
      </w:r>
    </w:p>
    <w:p>
      <w:pPr>
        <w:pStyle w:val="ListParagraph"/>
        <w:numPr>
          <w:ilvl w:val="0"/>
          <w:numId w:val="2"/>
        </w:numPr>
        <w:spacing w:after="70"/>
      </w:pPr>
      <w:r>
        <w:rPr>
          <w:rFonts w:ascii="Arial" w:cs="Arial" w:eastAsia="Arial" w:hAnsi="Arial"/>
          <w:sz w:val="22"/>
          <w:szCs w:val="22"/>
        </w:rPr>
        <w:t xml:space="preserve">Safety checks and lube programs live on paper, so incidents and wasted lubricant hide in the gaps</w:t>
      </w:r>
    </w:p>
    <w:p>
      <w:pPr>
        <w:spacing w:after="60" w:before="160"/>
      </w:pPr>
      <w:r>
        <w:rPr>
          <w:rFonts w:ascii="Arial" w:cs="Arial" w:eastAsia="Arial" w:hAnsi="Arial"/>
          <w:b/>
          <w:bCs/>
          <w:color w:val="E4572E"/>
          <w:spacing w:val="40"/>
          <w:sz w:val="20"/>
          <w:szCs w:val="20"/>
        </w:rPr>
        <w:t xml:space="preserve">WHY THEY'LL REPLY</w:t>
      </w:r>
    </w:p>
    <w:p>
      <w:pPr>
        <w:spacing w:after="120"/>
      </w:pPr>
      <w:r>
        <w:rPr>
          <w:rFonts w:ascii="Arial" w:cs="Arial" w:eastAsia="Arial" w:hAnsi="Arial"/>
          <w:sz w:val="22"/>
          <w:szCs w:val="22"/>
        </w:rPr>
        <w:t xml:space="preserve">Each persona gets its own angle. Maintenance leaders hear the proof-of-work gap. Plant leaders hear downtime cost. EHS leaders hear the incident number. We keep the angle that earns replies in each industry.</w:t>
      </w:r>
    </w:p>
    <w:p>
      <w:pPr>
        <w:spacing w:after="60" w:before="160"/>
      </w:pPr>
      <w:r>
        <w:rPr>
          <w:rFonts w:ascii="Arial" w:cs="Arial" w:eastAsia="Arial" w:hAnsi="Arial"/>
          <w:b/>
          <w:bCs/>
          <w:color w:val="E4572E"/>
          <w:spacing w:val="40"/>
          <w:sz w:val="20"/>
          <w:szCs w:val="20"/>
        </w:rPr>
        <w:t xml:space="preserve">PROOF WE LEAN ON</w:t>
      </w:r>
    </w:p>
    <w:p>
      <w:pPr>
        <w:spacing w:after="120"/>
      </w:pPr>
      <w:r>
        <w:rPr>
          <w:rFonts w:ascii="Arial" w:cs="Arial" w:eastAsia="Arial" w:hAnsi="Arial"/>
          <w:sz w:val="22"/>
          <w:szCs w:val="22"/>
        </w:rPr>
        <w:t xml:space="preserve">A global steel producer cut incidents by 50% with the Redlist safety app. A US metals manufacturer saved $209,070 on its lube program. Deloitte and the Manufacturing Institute project up to 3.8 million manufacturing roles needed by 2033, with about half at risk of going unfilled.</w:t>
      </w:r>
    </w:p>
    <w:p>
      <w:pPr>
        <w:spacing w:after="60" w:before="160"/>
      </w:pPr>
      <w:r>
        <w:rPr>
          <w:rFonts w:ascii="Arial" w:cs="Arial" w:eastAsia="Arial" w:hAnsi="Arial"/>
          <w:b/>
          <w:bCs/>
          <w:color w:val="E4572E"/>
          <w:spacing w:val="40"/>
          <w:sz w:val="20"/>
          <w:szCs w:val="20"/>
        </w:rPr>
        <w:t xml:space="preserve">TRIGGER EVENTS</w:t>
      </w:r>
    </w:p>
    <w:p>
      <w:pPr>
        <w:pStyle w:val="ListParagraph"/>
        <w:numPr>
          <w:ilvl w:val="0"/>
          <w:numId w:val="2"/>
        </w:numPr>
        <w:spacing w:after="70"/>
      </w:pPr>
      <w:r>
        <w:rPr>
          <w:rFonts w:ascii="Arial" w:cs="Arial" w:eastAsia="Arial" w:hAnsi="Arial"/>
          <w:sz w:val="22"/>
          <w:szCs w:val="22"/>
        </w:rPr>
        <w:t xml:space="preserve">Maintenance technician or reliability engineer job post</w:t>
      </w:r>
    </w:p>
    <w:p>
      <w:pPr>
        <w:pStyle w:val="ListParagraph"/>
        <w:numPr>
          <w:ilvl w:val="0"/>
          <w:numId w:val="2"/>
        </w:numPr>
        <w:spacing w:after="70"/>
      </w:pPr>
      <w:r>
        <w:rPr>
          <w:rFonts w:ascii="Arial" w:cs="Arial" w:eastAsia="Arial" w:hAnsi="Arial"/>
          <w:sz w:val="22"/>
          <w:szCs w:val="22"/>
        </w:rPr>
        <w:t xml:space="preserve">New EHS or plant manager hire</w:t>
      </w:r>
    </w:p>
    <w:p>
      <w:pPr>
        <w:pStyle w:val="ListParagraph"/>
        <w:numPr>
          <w:ilvl w:val="0"/>
          <w:numId w:val="2"/>
        </w:numPr>
        <w:spacing w:after="70"/>
      </w:pPr>
      <w:r>
        <w:rPr>
          <w:rFonts w:ascii="Arial" w:cs="Arial" w:eastAsia="Arial" w:hAnsi="Arial"/>
          <w:sz w:val="22"/>
          <w:szCs w:val="22"/>
        </w:rPr>
        <w:t xml:space="preserve">Incident, audit, or shutdown news</w:t>
      </w:r>
    </w:p>
    <w:p>
      <w:pPr>
        <w:spacing w:after="120"/>
      </w:pPr>
    </w:p>
    <w:p>
      <w:pPr>
        <w:pStyle w:val="Heading2"/>
        <w:spacing w:after="100" w:before="240"/>
      </w:pPr>
      <w:r>
        <w:rPr>
          <w:rFonts w:ascii="Arial" w:cs="Arial" w:eastAsia="Arial" w:hAnsi="Arial"/>
          <w:b/>
          <w:bCs/>
          <w:color w:val="0B1F3A"/>
          <w:sz w:val="26"/>
          <w:szCs w:val="26"/>
        </w:rPr>
        <w:t xml:space="preserve">TM2: IT and ERP owners at asset-heavy enterprises</w:t>
      </w:r>
    </w:p>
    <w:p>
      <w:pPr>
        <w:spacing w:after="120"/>
      </w:pPr>
      <w:r>
        <w:rPr>
          <w:rFonts w:ascii="Arial" w:cs="Arial" w:eastAsia="Arial" w:hAnsi="Arial"/>
          <w:i/>
          <w:iCs/>
          <w:color w:val="5A6472"/>
          <w:sz w:val="22"/>
          <w:szCs w:val="22"/>
        </w:rPr>
        <w:t xml:space="preserve">The message you have not tested yet, and the buyer where company-wide rollouts stall.</w:t>
      </w:r>
    </w:p>
    <w:p>
      <w:pPr>
        <w:spacing w:after="60" w:before="160"/>
      </w:pPr>
      <w:r>
        <w:rPr>
          <w:rFonts w:ascii="Arial" w:cs="Arial" w:eastAsia="Arial" w:hAnsi="Arial"/>
          <w:b/>
          <w:bCs/>
          <w:color w:val="E4572E"/>
          <w:spacing w:val="40"/>
          <w:sz w:val="20"/>
          <w:szCs w:val="20"/>
        </w:rPr>
        <w:t xml:space="preserve">PROFILE</w:t>
      </w:r>
    </w:p>
    <w:p>
      <w:pPr>
        <w:pStyle w:val="ListParagraph"/>
        <w:numPr>
          <w:ilvl w:val="0"/>
          <w:numId w:val="2"/>
        </w:numPr>
        <w:spacing w:after="70"/>
      </w:pPr>
      <w:r>
        <w:rPr>
          <w:rFonts w:ascii="Arial" w:cs="Arial" w:eastAsia="Arial" w:hAnsi="Arial"/>
          <w:b/>
          <w:bCs/>
          <w:sz w:val="22"/>
          <w:szCs w:val="22"/>
        </w:rPr>
        <w:t xml:space="preserve">Personas: </w:t>
      </w:r>
      <w:r>
        <w:rPr>
          <w:rFonts w:ascii="Arial" w:cs="Arial" w:eastAsia="Arial" w:hAnsi="Arial"/>
          <w:sz w:val="22"/>
          <w:szCs w:val="22"/>
        </w:rPr>
        <w:t xml:space="preserve">Director of IT, ERP or EAM Manager, Digital Transformation Lead, Operational Technology Lead</w:t>
      </w:r>
    </w:p>
    <w:p>
      <w:pPr>
        <w:pStyle w:val="ListParagraph"/>
        <w:numPr>
          <w:ilvl w:val="0"/>
          <w:numId w:val="2"/>
        </w:numPr>
        <w:spacing w:after="70"/>
      </w:pPr>
      <w:r>
        <w:rPr>
          <w:rFonts w:ascii="Arial" w:cs="Arial" w:eastAsia="Arial" w:hAnsi="Arial"/>
          <w:b/>
          <w:bCs/>
          <w:sz w:val="22"/>
          <w:szCs w:val="22"/>
        </w:rPr>
        <w:t xml:space="preserve">Companies: </w:t>
      </w:r>
      <w:r>
        <w:rPr>
          <w:rFonts w:ascii="Arial" w:cs="Arial" w:eastAsia="Arial" w:hAnsi="Arial"/>
          <w:sz w:val="22"/>
          <w:szCs w:val="22"/>
        </w:rPr>
        <w:t xml:space="preserve">Enterprises on SAP, JDE, Oracle EAM, or Maximo whose plants feed the ERP poor field data</w:t>
      </w:r>
    </w:p>
    <w:p>
      <w:pPr>
        <w:pStyle w:val="ListParagraph"/>
        <w:numPr>
          <w:ilvl w:val="0"/>
          <w:numId w:val="2"/>
        </w:numPr>
        <w:spacing w:after="70"/>
      </w:pPr>
      <w:r>
        <w:rPr>
          <w:rFonts w:ascii="Arial" w:cs="Arial" w:eastAsia="Arial" w:hAnsi="Arial"/>
          <w:b/>
          <w:bCs/>
          <w:sz w:val="22"/>
          <w:szCs w:val="22"/>
        </w:rPr>
        <w:t xml:space="preserve">Data: </w:t>
      </w:r>
      <w:r>
        <w:rPr>
          <w:rFonts w:ascii="Arial" w:cs="Arial" w:eastAsia="Arial" w:hAnsi="Arial"/>
          <w:sz w:val="22"/>
          <w:szCs w:val="22"/>
        </w:rPr>
        <w:t xml:space="preserve">Accounts matched on ERP stack, paired with a plant-leader email at the same account</w:t>
      </w:r>
    </w:p>
    <w:p>
      <w:pPr>
        <w:spacing w:after="60" w:before="160"/>
      </w:pPr>
      <w:r>
        <w:rPr>
          <w:rFonts w:ascii="Arial" w:cs="Arial" w:eastAsia="Arial" w:hAnsi="Arial"/>
          <w:b/>
          <w:bCs/>
          <w:color w:val="E4572E"/>
          <w:spacing w:val="40"/>
          <w:sz w:val="20"/>
          <w:szCs w:val="20"/>
        </w:rPr>
        <w:t xml:space="preserve">PAIN POINTS</w:t>
      </w:r>
    </w:p>
    <w:p>
      <w:pPr>
        <w:pStyle w:val="ListParagraph"/>
        <w:numPr>
          <w:ilvl w:val="0"/>
          <w:numId w:val="2"/>
        </w:numPr>
        <w:spacing w:after="70"/>
      </w:pPr>
      <w:r>
        <w:rPr>
          <w:rFonts w:ascii="Arial" w:cs="Arial" w:eastAsia="Arial" w:hAnsi="Arial"/>
          <w:sz w:val="22"/>
          <w:szCs w:val="22"/>
        </w:rPr>
        <w:t xml:space="preserve">Millions spent on the ERP and plant data still arrives late, messy, or on paper</w:t>
      </w:r>
    </w:p>
    <w:p>
      <w:pPr>
        <w:pStyle w:val="ListParagraph"/>
        <w:numPr>
          <w:ilvl w:val="0"/>
          <w:numId w:val="2"/>
        </w:numPr>
        <w:spacing w:after="70"/>
      </w:pPr>
      <w:r>
        <w:rPr>
          <w:rFonts w:ascii="Arial" w:cs="Arial" w:eastAsia="Arial" w:hAnsi="Arial"/>
          <w:sz w:val="22"/>
          <w:szCs w:val="22"/>
        </w:rPr>
        <w:t xml:space="preserve">Sensor and IoT projects with no clean path into the system of record</w:t>
      </w:r>
    </w:p>
    <w:p>
      <w:pPr>
        <w:pStyle w:val="ListParagraph"/>
        <w:numPr>
          <w:ilvl w:val="0"/>
          <w:numId w:val="2"/>
        </w:numPr>
        <w:spacing w:after="70"/>
      </w:pPr>
      <w:r>
        <w:rPr>
          <w:rFonts w:ascii="Arial" w:cs="Arial" w:eastAsia="Arial" w:hAnsi="Arial"/>
          <w:sz w:val="22"/>
          <w:szCs w:val="22"/>
        </w:rPr>
        <w:t xml:space="preserve">Pressure to show return on digital transformation spend</w:t>
      </w:r>
    </w:p>
    <w:p>
      <w:pPr>
        <w:spacing w:after="60" w:before="160"/>
      </w:pPr>
      <w:r>
        <w:rPr>
          <w:rFonts w:ascii="Arial" w:cs="Arial" w:eastAsia="Arial" w:hAnsi="Arial"/>
          <w:b/>
          <w:bCs/>
          <w:color w:val="E4572E"/>
          <w:spacing w:val="40"/>
          <w:sz w:val="20"/>
          <w:szCs w:val="20"/>
        </w:rPr>
        <w:t xml:space="preserve">WHY THEY'LL REPLY</w:t>
      </w:r>
    </w:p>
    <w:p>
      <w:pPr>
        <w:spacing w:after="120"/>
      </w:pPr>
      <w:r>
        <w:rPr>
          <w:rFonts w:ascii="Arial" w:cs="Arial" w:eastAsia="Arial" w:hAnsi="Arial"/>
          <w:sz w:val="22"/>
          <w:szCs w:val="22"/>
        </w:rPr>
        <w:t xml:space="preserve">Redlist makes an investment they already made more valuable, instead of asking IT to adopt another tool. SAP ECC mainstream maintenance ends in December 2027, so many of these teams are deciding right now what data feeds the next system.</w:t>
      </w:r>
    </w:p>
    <w:p>
      <w:pPr>
        <w:spacing w:after="60" w:before="160"/>
      </w:pPr>
      <w:r>
        <w:rPr>
          <w:rFonts w:ascii="Arial" w:cs="Arial" w:eastAsia="Arial" w:hAnsi="Arial"/>
          <w:b/>
          <w:bCs/>
          <w:color w:val="E4572E"/>
          <w:spacing w:val="40"/>
          <w:sz w:val="20"/>
          <w:szCs w:val="20"/>
        </w:rPr>
        <w:t xml:space="preserve">PROOF WE LEAN ON</w:t>
      </w:r>
    </w:p>
    <w:p>
      <w:pPr>
        <w:spacing w:after="120"/>
      </w:pPr>
      <w:r>
        <w:rPr>
          <w:rFonts w:ascii="Arial" w:cs="Arial" w:eastAsia="Arial" w:hAnsi="Arial"/>
          <w:sz w:val="22"/>
          <w:szCs w:val="22"/>
        </w:rPr>
        <w:t xml:space="preserve">Redlist syncs with SAP, Oracle EAM, JDE, and Maximo in both directions. SAP ends mainstream maintenance for ECC on December 31, 2027, and a full migration typically takes 18 to 36 months.</w:t>
      </w:r>
    </w:p>
    <w:p>
      <w:pPr>
        <w:spacing w:after="60" w:before="160"/>
      </w:pPr>
      <w:r>
        <w:rPr>
          <w:rFonts w:ascii="Arial" w:cs="Arial" w:eastAsia="Arial" w:hAnsi="Arial"/>
          <w:b/>
          <w:bCs/>
          <w:color w:val="E4572E"/>
          <w:spacing w:val="40"/>
          <w:sz w:val="20"/>
          <w:szCs w:val="20"/>
        </w:rPr>
        <w:t xml:space="preserve">TRIGGER EVENTS</w:t>
      </w:r>
    </w:p>
    <w:p>
      <w:pPr>
        <w:pStyle w:val="ListParagraph"/>
        <w:numPr>
          <w:ilvl w:val="0"/>
          <w:numId w:val="2"/>
        </w:numPr>
        <w:spacing w:after="70"/>
      </w:pPr>
      <w:r>
        <w:rPr>
          <w:rFonts w:ascii="Arial" w:cs="Arial" w:eastAsia="Arial" w:hAnsi="Arial"/>
          <w:sz w:val="22"/>
          <w:szCs w:val="22"/>
        </w:rPr>
        <w:t xml:space="preserve">S/4HANA, EAM, or integration job posts</w:t>
      </w:r>
    </w:p>
    <w:p>
      <w:pPr>
        <w:pStyle w:val="ListParagraph"/>
        <w:numPr>
          <w:ilvl w:val="0"/>
          <w:numId w:val="2"/>
        </w:numPr>
        <w:spacing w:after="70"/>
      </w:pPr>
      <w:r>
        <w:rPr>
          <w:rFonts w:ascii="Arial" w:cs="Arial" w:eastAsia="Arial" w:hAnsi="Arial"/>
          <w:sz w:val="22"/>
          <w:szCs w:val="22"/>
        </w:rPr>
        <w:t xml:space="preserve">ERP migration or EAM rollout announced</w:t>
      </w:r>
    </w:p>
    <w:p>
      <w:pPr>
        <w:pStyle w:val="ListParagraph"/>
        <w:numPr>
          <w:ilvl w:val="0"/>
          <w:numId w:val="2"/>
        </w:numPr>
        <w:spacing w:after="70"/>
      </w:pPr>
      <w:r>
        <w:rPr>
          <w:rFonts w:ascii="Arial" w:cs="Arial" w:eastAsia="Arial" w:hAnsi="Arial"/>
          <w:sz w:val="22"/>
          <w:szCs w:val="22"/>
        </w:rPr>
        <w:t xml:space="preserve">Sensor or IoT deployment at a plant</w:t>
      </w:r>
    </w:p>
    <w:p>
      <w:pPr>
        <w:spacing w:after="120"/>
      </w:pPr>
    </w:p>
    <w:p>
      <w:pPr>
        <w:pStyle w:val="Heading2"/>
        <w:spacing w:after="100" w:before="240"/>
      </w:pPr>
      <w:r>
        <w:rPr>
          <w:rFonts w:ascii="Arial" w:cs="Arial" w:eastAsia="Arial" w:hAnsi="Arial"/>
          <w:b/>
          <w:bCs/>
          <w:color w:val="0B1F3A"/>
          <w:sz w:val="26"/>
          <w:szCs w:val="26"/>
        </w:rPr>
        <w:t xml:space="preserve">High-intent signal program</w:t>
      </w:r>
    </w:p>
    <w:p>
      <w:pPr>
        <w:spacing w:after="120"/>
      </w:pPr>
      <w:r>
        <w:rPr>
          <w:rFonts w:ascii="Arial" w:cs="Arial" w:eastAsia="Arial" w:hAnsi="Arial"/>
          <w:sz w:val="22"/>
          <w:szCs w:val="22"/>
        </w:rPr>
        <w:t xml:space="preserve">The strongest signals we can watch or run, ranked. Each one gives a reason to reach out now. The Dream-100 accounts are never emailed by BuzzLead; changes go to the owning AE in Slack with an enriched mobile number.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2600"/>
        <w:gridCol w:w="3660"/>
        <w:gridCol w:w="2400"/>
      </w:tblGrid>
      <w:tr>
        <w:trPr>
          <w:tblHeader/>
        </w:trPr>
        <w:tc>
          <w:tcPr>
            <w:tcW w:type="dxa" w:w="700"/>
            <w:tcBorders>
              <w:top w:val="single" w:color="C9CED6" w:sz="4"/>
              <w:left w:val="single" w:color="C9CED6" w:sz="4"/>
              <w:bottom w:val="single" w:color="C9CED6" w:sz="4"/>
              <w:right w:val="single" w:color="C9CED6" w:sz="4"/>
            </w:tcBorders>
            <w:shd w:fill="0B1F3A" w:color="auto" w:val="clear"/>
            <w:tcMar>
              <w:top w:type="dxa" w:w="80"/>
              <w:left w:type="dxa" w:w="120"/>
              <w:bottom w:type="dxa" w:w="80"/>
              <w:right w:type="dxa" w:w="120"/>
            </w:tcMar>
          </w:tcPr>
          <w:p>
            <w:r>
              <w:rPr>
                <w:rFonts w:ascii="Arial" w:cs="Arial" w:eastAsia="Arial" w:hAnsi="Arial"/>
                <w:b/>
                <w:bCs/>
                <w:color w:val="FFFFFF"/>
                <w:sz w:val="20"/>
                <w:szCs w:val="20"/>
              </w:rPr>
              <w:t xml:space="preserve">#</w:t>
            </w:r>
          </w:p>
        </w:tc>
        <w:tc>
          <w:tcPr>
            <w:tcW w:type="dxa" w:w="2600"/>
            <w:tcBorders>
              <w:top w:val="single" w:color="C9CED6" w:sz="4"/>
              <w:left w:val="single" w:color="C9CED6" w:sz="4"/>
              <w:bottom w:val="single" w:color="C9CED6" w:sz="4"/>
              <w:right w:val="single" w:color="C9CED6" w:sz="4"/>
            </w:tcBorders>
            <w:shd w:fill="0B1F3A" w:color="auto" w:val="clear"/>
            <w:tcMar>
              <w:top w:type="dxa" w:w="80"/>
              <w:left w:type="dxa" w:w="120"/>
              <w:bottom w:type="dxa" w:w="80"/>
              <w:right w:type="dxa" w:w="120"/>
            </w:tcMar>
          </w:tcPr>
          <w:p>
            <w:r>
              <w:rPr>
                <w:rFonts w:ascii="Arial" w:cs="Arial" w:eastAsia="Arial" w:hAnsi="Arial"/>
                <w:b/>
                <w:bCs/>
                <w:color w:val="FFFFFF"/>
                <w:sz w:val="20"/>
                <w:szCs w:val="20"/>
              </w:rPr>
              <w:t xml:space="preserve">Signal</w:t>
            </w:r>
          </w:p>
        </w:tc>
        <w:tc>
          <w:tcPr>
            <w:tcW w:type="dxa" w:w="3660"/>
            <w:tcBorders>
              <w:top w:val="single" w:color="C9CED6" w:sz="4"/>
              <w:left w:val="single" w:color="C9CED6" w:sz="4"/>
              <w:bottom w:val="single" w:color="C9CED6" w:sz="4"/>
              <w:right w:val="single" w:color="C9CED6" w:sz="4"/>
            </w:tcBorders>
            <w:shd w:fill="0B1F3A" w:color="auto" w:val="clear"/>
            <w:tcMar>
              <w:top w:type="dxa" w:w="80"/>
              <w:left w:type="dxa" w:w="120"/>
              <w:bottom w:type="dxa" w:w="80"/>
              <w:right w:type="dxa" w:w="120"/>
            </w:tcMar>
          </w:tcPr>
          <w:p>
            <w:r>
              <w:rPr>
                <w:rFonts w:ascii="Arial" w:cs="Arial" w:eastAsia="Arial" w:hAnsi="Arial"/>
                <w:b/>
                <w:bCs/>
                <w:color w:val="FFFFFF"/>
                <w:sz w:val="20"/>
                <w:szCs w:val="20"/>
              </w:rPr>
              <w:t xml:space="preserve">Why it works</w:t>
            </w:r>
          </w:p>
        </w:tc>
        <w:tc>
          <w:tcPr>
            <w:tcW w:type="dxa" w:w="2400"/>
            <w:tcBorders>
              <w:top w:val="single" w:color="C9CED6" w:sz="4"/>
              <w:left w:val="single" w:color="C9CED6" w:sz="4"/>
              <w:bottom w:val="single" w:color="C9CED6" w:sz="4"/>
              <w:right w:val="single" w:color="C9CED6" w:sz="4"/>
            </w:tcBorders>
            <w:shd w:fill="0B1F3A" w:color="auto" w:val="clear"/>
            <w:tcMar>
              <w:top w:type="dxa" w:w="80"/>
              <w:left w:type="dxa" w:w="120"/>
              <w:bottom w:type="dxa" w:w="80"/>
              <w:right w:type="dxa" w:w="120"/>
            </w:tcMar>
          </w:tcPr>
          <w:p>
            <w:r>
              <w:rPr>
                <w:rFonts w:ascii="Arial" w:cs="Arial" w:eastAsia="Arial" w:hAnsi="Arial"/>
                <w:b/>
                <w:bCs/>
                <w:color w:val="FFFFFF"/>
                <w:sz w:val="20"/>
                <w:szCs w:val="20"/>
              </w:rPr>
              <w:t xml:space="preserve">Where it comes from</w:t>
            </w:r>
          </w:p>
        </w:tc>
      </w:tr>
      <w:tr>
        <w:tc>
          <w:tcPr>
            <w:tcW w:type="dxa" w:w="7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bCs/>
                <w:sz w:val="20"/>
                <w:szCs w:val="20"/>
              </w:rPr>
              <w:t xml:space="preserve">1</w:t>
            </w:r>
          </w:p>
        </w:tc>
        <w:tc>
          <w:tcPr>
            <w:tcW w:type="dxa" w:w="26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Champion changed employers</w:t>
            </w:r>
          </w:p>
        </w:tc>
        <w:tc>
          <w:tcPr>
            <w:tcW w:type="dxa" w:w="366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A past Redlist user now holds a maintenance or plant role at a new company. The warmest reply in outbound.</w:t>
            </w:r>
          </w:p>
        </w:tc>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HubSpot users matched to LinkedIn job changes</w:t>
            </w:r>
          </w:p>
        </w:tc>
      </w:tr>
      <w:tr>
        <w:tc>
          <w:tcPr>
            <w:tcW w:type="dxa" w:w="7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bCs/>
                <w:sz w:val="20"/>
                <w:szCs w:val="20"/>
              </w:rPr>
              <w:t xml:space="preserve">2</w:t>
            </w:r>
          </w:p>
        </w:tc>
        <w:tc>
          <w:tcPr>
            <w:tcW w:type="dxa" w:w="26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New plant or reliability leader</w:t>
            </w:r>
          </w:p>
        </w:tc>
        <w:tc>
          <w:tcPr>
            <w:tcW w:type="dxa" w:w="3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First 90 days. New leaders inherit the maintenance program and need a quick win.</w:t>
            </w:r>
          </w:p>
        </w:tc>
        <w:tc>
          <w:tcPr>
            <w:tcW w:type="dxa" w:w="2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LinkedIn role starts and press releases</w:t>
            </w:r>
          </w:p>
        </w:tc>
      </w:tr>
      <w:tr>
        <w:tc>
          <w:tcPr>
            <w:tcW w:type="dxa" w:w="7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bCs/>
                <w:sz w:val="20"/>
                <w:szCs w:val="20"/>
              </w:rPr>
              <w:t xml:space="preserve">3</w:t>
            </w:r>
          </w:p>
        </w:tc>
        <w:tc>
          <w:tcPr>
            <w:tcW w:type="dxa" w:w="26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ERP or EAM project live</w:t>
            </w:r>
          </w:p>
        </w:tc>
        <w:tc>
          <w:tcPr>
            <w:tcW w:type="dxa" w:w="366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Active projects decide which tools get connected for years. We reach IT and plant leaders at the same account.</w:t>
            </w:r>
          </w:p>
        </w:tc>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Job posts and project announcements</w:t>
            </w:r>
          </w:p>
        </w:tc>
      </w:tr>
      <w:tr>
        <w:tc>
          <w:tcPr>
            <w:tcW w:type="dxa" w:w="7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bCs/>
                <w:sz w:val="20"/>
                <w:szCs w:val="20"/>
              </w:rPr>
              <w:t xml:space="preserve">4</w:t>
            </w:r>
          </w:p>
        </w:tc>
        <w:tc>
          <w:tcPr>
            <w:tcW w:type="dxa" w:w="26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New or remote site opening</w:t>
            </w:r>
          </w:p>
        </w:tc>
        <w:tc>
          <w:tcPr>
            <w:tcW w:type="dxa" w:w="3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A fresh maintenance program, often without connectivity. The best moment to pick a system.</w:t>
            </w:r>
          </w:p>
        </w:tc>
        <w:tc>
          <w:tcPr>
            <w:tcW w:type="dxa" w:w="2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Press, permits, local news, site job posts</w:t>
            </w:r>
          </w:p>
        </w:tc>
      </w:tr>
      <w:tr>
        <w:tc>
          <w:tcPr>
            <w:tcW w:type="dxa" w:w="7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bCs/>
                <w:sz w:val="20"/>
                <w:szCs w:val="20"/>
              </w:rPr>
              <w:t xml:space="preserve">5</w:t>
            </w:r>
          </w:p>
        </w:tc>
        <w:tc>
          <w:tcPr>
            <w:tcW w:type="dxa" w:w="26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Dream-100 account changes</w:t>
            </w:r>
          </w:p>
        </w:tc>
        <w:tc>
          <w:tcPr>
            <w:tcW w:type="dxa" w:w="366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Daily crawl of 100 named accounts. Changes go to the owning AE in Slack with an enriched mobile number. We never email these accounts.</w:t>
            </w:r>
          </w:p>
        </w:tc>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Site pages, LinkedIn, filings, news</w:t>
            </w:r>
          </w:p>
        </w:tc>
      </w:tr>
      <w:tr>
        <w:tc>
          <w:tcPr>
            <w:tcW w:type="dxa" w:w="7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bCs/>
                <w:sz w:val="20"/>
                <w:szCs w:val="20"/>
              </w:rPr>
              <w:t xml:space="preserve">6</w:t>
            </w:r>
          </w:p>
        </w:tc>
        <w:tc>
          <w:tcPr>
            <w:tcW w:type="dxa" w:w="26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Event pre-show and post-show</w:t>
            </w:r>
          </w:p>
        </w:tc>
        <w:tc>
          <w:tcPr>
            <w:tcW w:type="dxa" w:w="3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Your best channel, multiplied. Meetings booked before the booth opens and follow-up for everyone who walked past.</w:t>
            </w:r>
          </w:p>
        </w:tc>
        <w:tc>
          <w:tcPr>
            <w:tcW w:type="dxa" w:w="2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Exhibitor and attendee lists, speaker rosters</w:t>
            </w:r>
          </w:p>
        </w:tc>
      </w:tr>
    </w:tbl>
    <w:p>
      <w:pPr>
        <w:pStyle w:val="Heading1"/>
        <w:pBdr>
          <w:bottom w:val="single" w:color="E4572E" w:sz="8" w:space="4"/>
        </w:pBdr>
        <w:spacing w:after="160" w:before="360"/>
      </w:pPr>
      <w:r>
        <w:rPr>
          <w:rFonts w:ascii="Arial" w:cs="Arial" w:eastAsia="Arial" w:hAnsi="Arial"/>
          <w:b/>
          <w:bCs/>
          <w:color w:val="0B1F3A"/>
          <w:sz w:val="32"/>
          <w:szCs w:val="32"/>
        </w:rPr>
        <w:t xml:space="preserve">4. How We Win Attention</w:t>
      </w:r>
    </w:p>
    <w:p>
      <w:pPr>
        <w:pStyle w:val="ListParagraph"/>
        <w:numPr>
          <w:ilvl w:val="0"/>
          <w:numId w:val="2"/>
        </w:numPr>
        <w:spacing w:after="70"/>
      </w:pPr>
      <w:r>
        <w:rPr>
          <w:rFonts w:ascii="Arial" w:cs="Arial" w:eastAsia="Arial" w:hAnsi="Arial"/>
          <w:b/>
          <w:bCs/>
          <w:sz w:val="22"/>
          <w:szCs w:val="22"/>
        </w:rPr>
        <w:t xml:space="preserve">Research first. </w:t>
      </w:r>
      <w:r>
        <w:rPr>
          <w:rFonts w:ascii="Arial" w:cs="Arial" w:eastAsia="Arial" w:hAnsi="Arial"/>
          <w:sz w:val="22"/>
          <w:szCs w:val="22"/>
        </w:rPr>
        <w:t xml:space="preserve">Before writing a word, we study how each buyer actually talks, in the forums, groups, and job posts they live in. A plant manager and an ERP owner do not read the same email.</w:t>
      </w:r>
    </w:p>
    <w:p>
      <w:pPr>
        <w:pStyle w:val="ListParagraph"/>
        <w:numPr>
          <w:ilvl w:val="0"/>
          <w:numId w:val="2"/>
        </w:numPr>
        <w:spacing w:after="70"/>
      </w:pPr>
      <w:r>
        <w:rPr>
          <w:rFonts w:ascii="Arial" w:cs="Arial" w:eastAsia="Arial" w:hAnsi="Arial"/>
          <w:b/>
          <w:bCs/>
          <w:sz w:val="22"/>
          <w:szCs w:val="22"/>
        </w:rPr>
        <w:t xml:space="preserve">One problem, one proof, one question. </w:t>
      </w:r>
      <w:r>
        <w:rPr>
          <w:rFonts w:ascii="Arial" w:cs="Arial" w:eastAsia="Arial" w:hAnsi="Arial"/>
          <w:sz w:val="22"/>
          <w:szCs w:val="22"/>
        </w:rPr>
        <w:t xml:space="preserve">Every message opens with a problem at their site, carries one named result, and ends with a question that takes ten seconds to answer.</w:t>
      </w:r>
    </w:p>
    <w:p>
      <w:pPr>
        <w:pStyle w:val="ListParagraph"/>
        <w:numPr>
          <w:ilvl w:val="0"/>
          <w:numId w:val="2"/>
        </w:numPr>
        <w:spacing w:after="70"/>
      </w:pPr>
      <w:r>
        <w:rPr>
          <w:rFonts w:ascii="Arial" w:cs="Arial" w:eastAsia="Arial" w:hAnsi="Arial"/>
          <w:b/>
          <w:bCs/>
          <w:sz w:val="22"/>
          <w:szCs w:val="22"/>
        </w:rPr>
        <w:t xml:space="preserve">Learn from every reply. </w:t>
      </w:r>
      <w:r>
        <w:rPr>
          <w:rFonts w:ascii="Arial" w:cs="Arial" w:eastAsia="Arial" w:hAnsi="Arial"/>
          <w:sz w:val="22"/>
          <w:szCs w:val="22"/>
        </w:rPr>
        <w:t xml:space="preserve">Replies are logged against hook, persona, and segment. Winners get volume. Leads recycle every three months with a fresh angle.</w:t>
      </w:r>
    </w:p>
    <w:p>
      <w:pPr>
        <w:pStyle w:val="Heading1"/>
        <w:pBdr>
          <w:bottom w:val="single" w:color="E4572E" w:sz="8" w:space="4"/>
        </w:pBdr>
        <w:spacing w:after="160" w:before="360"/>
      </w:pPr>
      <w:r>
        <w:rPr>
          <w:rFonts w:ascii="Arial" w:cs="Arial" w:eastAsia="Arial" w:hAnsi="Arial"/>
          <w:b/>
          <w:bCs/>
          <w:color w:val="0B1F3A"/>
          <w:sz w:val="32"/>
          <w:szCs w:val="32"/>
        </w:rPr>
        <w:t xml:space="preserve">5. Build or Buy: Run Both</w:t>
      </w:r>
    </w:p>
    <w:p>
      <w:pPr>
        <w:spacing w:after="120"/>
      </w:pPr>
      <w:r>
        <w:rPr>
          <w:rFonts w:ascii="Arial" w:cs="Arial" w:eastAsia="Arial" w:hAnsi="Arial"/>
          <w:sz w:val="22"/>
          <w:szCs w:val="22"/>
        </w:rPr>
        <w:t xml:space="preserve">An in-house outbound AI SDR is on the Q4 roadmap. Our recommendation is to keep it there and run BuzzLead alongside it, the same way the inbound AI SDR was tested. By month three the two can be compared on booked meetings, and the 14-day out clause keeps the downside on our side.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660"/>
        <w:gridCol w:w="3100"/>
      </w:tblGrid>
      <w:tr>
        <w:trPr>
          <w:tblHeader/>
        </w:trPr>
        <w:tc>
          <w:tcPr>
            <w:tcW w:type="dxa" w:w="2600"/>
            <w:tcBorders>
              <w:top w:val="single" w:color="C9CED6" w:sz="4"/>
              <w:left w:val="single" w:color="C9CED6" w:sz="4"/>
              <w:bottom w:val="single" w:color="C9CED6" w:sz="4"/>
              <w:right w:val="single" w:color="C9CED6" w:sz="4"/>
            </w:tcBorders>
            <w:shd w:fill="0B1F3A" w:color="auto" w:val="clear"/>
            <w:tcMar>
              <w:top w:type="dxa" w:w="80"/>
              <w:left w:type="dxa" w:w="120"/>
              <w:bottom w:type="dxa" w:w="80"/>
              <w:right w:type="dxa" w:w="120"/>
            </w:tcMar>
          </w:tcPr>
          <w:p>
            <w:r>
              <w:rPr>
                <w:rFonts w:ascii="Arial" w:cs="Arial" w:eastAsia="Arial" w:hAnsi="Arial"/>
                <w:b/>
                <w:bCs/>
                <w:color w:val="FFFFFF"/>
                <w:sz w:val="20"/>
                <w:szCs w:val="20"/>
              </w:rPr>
              <w:t xml:space="preserve">What outbound needs</w:t>
            </w:r>
          </w:p>
        </w:tc>
        <w:tc>
          <w:tcPr>
            <w:tcW w:type="dxa" w:w="3660"/>
            <w:tcBorders>
              <w:top w:val="single" w:color="C9CED6" w:sz="4"/>
              <w:left w:val="single" w:color="C9CED6" w:sz="4"/>
              <w:bottom w:val="single" w:color="C9CED6" w:sz="4"/>
              <w:right w:val="single" w:color="C9CED6" w:sz="4"/>
            </w:tcBorders>
            <w:shd w:fill="0B1F3A" w:color="auto" w:val="clear"/>
            <w:tcMar>
              <w:top w:type="dxa" w:w="80"/>
              <w:left w:type="dxa" w:w="120"/>
              <w:bottom w:type="dxa" w:w="80"/>
              <w:right w:type="dxa" w:w="120"/>
            </w:tcMar>
          </w:tcPr>
          <w:p>
            <w:r>
              <w:rPr>
                <w:rFonts w:ascii="Arial" w:cs="Arial" w:eastAsia="Arial" w:hAnsi="Arial"/>
                <w:b/>
                <w:bCs/>
                <w:color w:val="FFFFFF"/>
                <w:sz w:val="20"/>
                <w:szCs w:val="20"/>
              </w:rPr>
              <w:t xml:space="preserve">BuzzLead (included)</w:t>
            </w:r>
          </w:p>
        </w:tc>
        <w:tc>
          <w:tcPr>
            <w:tcW w:type="dxa" w:w="3100"/>
            <w:tcBorders>
              <w:top w:val="single" w:color="C9CED6" w:sz="4"/>
              <w:left w:val="single" w:color="C9CED6" w:sz="4"/>
              <w:bottom w:val="single" w:color="C9CED6" w:sz="4"/>
              <w:right w:val="single" w:color="C9CED6" w:sz="4"/>
            </w:tcBorders>
            <w:shd w:fill="0B1F3A" w:color="auto" w:val="clear"/>
            <w:tcMar>
              <w:top w:type="dxa" w:w="80"/>
              <w:left w:type="dxa" w:w="120"/>
              <w:bottom w:type="dxa" w:w="80"/>
              <w:right w:type="dxa" w:w="120"/>
            </w:tcMar>
          </w:tcPr>
          <w:p>
            <w:r>
              <w:rPr>
                <w:rFonts w:ascii="Arial" w:cs="Arial" w:eastAsia="Arial" w:hAnsi="Arial"/>
                <w:b/>
                <w:bCs/>
                <w:color w:val="FFFFFF"/>
                <w:sz w:val="20"/>
                <w:szCs w:val="20"/>
              </w:rPr>
              <w:t xml:space="preserve">In-house build</w:t>
            </w:r>
          </w:p>
        </w:tc>
      </w:tr>
      <w:tr>
        <w:tc>
          <w:tcPr>
            <w:tcW w:type="dxa" w:w="26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bCs/>
                <w:sz w:val="20"/>
                <w:szCs w:val="20"/>
              </w:rPr>
              <w:t xml:space="preserve">Buyer data for the whole market</w:t>
            </w:r>
          </w:p>
        </w:tc>
        <w:tc>
          <w:tcPr>
            <w:tcW w:type="dxa" w:w="366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Scraped, scored, and segmented</w:t>
            </w:r>
          </w:p>
        </w:tc>
        <w:tc>
          <w:tcPr>
            <w:tcW w:type="dxa" w:w="31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Zoom Info exports plus manual list work</w:t>
            </w:r>
          </w:p>
        </w:tc>
      </w:tr>
      <w:tr>
        <w:tc>
          <w:tcPr>
            <w:tcW w:type="dxa" w:w="26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bCs/>
                <w:sz w:val="20"/>
                <w:szCs w:val="20"/>
              </w:rPr>
              <w:t xml:space="preserve">Sending infrastructure</w:t>
            </w:r>
          </w:p>
        </w:tc>
        <w:tc>
          <w:tcPr>
            <w:tcW w:type="dxa" w:w="3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Dedicated domains and mailboxes, warmed, monitored, 95% or better deliverability</w:t>
            </w:r>
          </w:p>
        </w:tc>
        <w:tc>
          <w:tcPr>
            <w:tcW w:type="dxa" w:w="31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Domains, warmup, and monitoring to set up and maintain</w:t>
            </w:r>
          </w:p>
        </w:tc>
      </w:tr>
      <w:tr>
        <w:tc>
          <w:tcPr>
            <w:tcW w:type="dxa" w:w="26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bCs/>
                <w:sz w:val="20"/>
                <w:szCs w:val="20"/>
              </w:rPr>
              <w:t xml:space="preserve">Copy and persona research</w:t>
            </w:r>
          </w:p>
        </w:tc>
        <w:tc>
          <w:tcPr>
            <w:tcW w:type="dxa" w:w="366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Voice-of-ICP research and buyer-specific angles</w:t>
            </w:r>
          </w:p>
        </w:tc>
        <w:tc>
          <w:tcPr>
            <w:tcW w:type="dxa" w:w="31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Prompting and iteration on top of engineering time</w:t>
            </w:r>
          </w:p>
        </w:tc>
      </w:tr>
      <w:tr>
        <w:tc>
          <w:tcPr>
            <w:tcW w:type="dxa" w:w="26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bCs/>
                <w:sz w:val="20"/>
                <w:szCs w:val="20"/>
              </w:rPr>
              <w:t xml:space="preserve">Reply handling and booking</w:t>
            </w:r>
          </w:p>
        </w:tc>
        <w:tc>
          <w:tcPr>
            <w:tcW w:type="dxa" w:w="3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Managed inbox, objections, and meetings on your calendar</w:t>
            </w:r>
          </w:p>
        </w:tc>
        <w:tc>
          <w:tcPr>
            <w:tcW w:type="dxa" w:w="31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Someone has to read every reply</w:t>
            </w:r>
          </w:p>
        </w:tc>
      </w:tr>
      <w:tr>
        <w:tc>
          <w:tcPr>
            <w:tcW w:type="dxa" w:w="26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bCs/>
                <w:sz w:val="20"/>
                <w:szCs w:val="20"/>
              </w:rPr>
              <w:t xml:space="preserve">Custom signals</w:t>
            </w:r>
          </w:p>
        </w:tc>
        <w:tc>
          <w:tcPr>
            <w:tcW w:type="dxa" w:w="366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Crawlers on 100 accounts plus hiring, role-change, and ERP triggers</w:t>
            </w:r>
          </w:p>
        </w:tc>
        <w:tc>
          <w:tcPr>
            <w:tcW w:type="dxa" w:w="31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Each signal is its own build</w:t>
            </w:r>
          </w:p>
        </w:tc>
      </w:tr>
      <w:tr>
        <w:tc>
          <w:tcPr>
            <w:tcW w:type="dxa" w:w="26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bCs/>
                <w:sz w:val="20"/>
                <w:szCs w:val="20"/>
              </w:rPr>
              <w:t xml:space="preserve">Time to first meeting</w:t>
            </w:r>
          </w:p>
        </w:tc>
        <w:tc>
          <w:tcPr>
            <w:tcW w:type="dxa" w:w="3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Live in week three</w:t>
            </w:r>
          </w:p>
        </w:tc>
        <w:tc>
          <w:tcPr>
            <w:tcW w:type="dxa" w:w="31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Q4 build, then testing</w:t>
            </w:r>
          </w:p>
        </w:tc>
      </w:tr>
    </w:tbl>
    <w:p>
      <w:pPr>
        <w:pStyle w:val="Heading1"/>
        <w:pBdr>
          <w:bottom w:val="single" w:color="E4572E" w:sz="8" w:space="4"/>
        </w:pBdr>
        <w:spacing w:after="160" w:before="360"/>
      </w:pPr>
      <w:r>
        <w:rPr>
          <w:rFonts w:ascii="Arial" w:cs="Arial" w:eastAsia="Arial" w:hAnsi="Arial"/>
          <w:b/>
          <w:bCs/>
          <w:color w:val="0B1F3A"/>
          <w:sz w:val="32"/>
          <w:szCs w:val="32"/>
        </w:rPr>
        <w:t xml:space="preserve">6. Phase II: Additional Markets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800"/>
        <w:gridCol w:w="3760"/>
      </w:tblGrid>
      <w:tr>
        <w:trPr>
          <w:tblHeader/>
        </w:trPr>
        <w:tc>
          <w:tcPr>
            <w:tcW w:type="dxa" w:w="2800"/>
            <w:tcBorders>
              <w:top w:val="single" w:color="C9CED6" w:sz="4"/>
              <w:left w:val="single" w:color="C9CED6" w:sz="4"/>
              <w:bottom w:val="single" w:color="C9CED6" w:sz="4"/>
              <w:right w:val="single" w:color="C9CED6" w:sz="4"/>
            </w:tcBorders>
            <w:shd w:fill="0B1F3A" w:color="auto" w:val="clear"/>
            <w:tcMar>
              <w:top w:type="dxa" w:w="80"/>
              <w:left w:type="dxa" w:w="120"/>
              <w:bottom w:type="dxa" w:w="80"/>
              <w:right w:type="dxa" w:w="120"/>
            </w:tcMar>
          </w:tcPr>
          <w:p>
            <w:r>
              <w:rPr>
                <w:rFonts w:ascii="Arial" w:cs="Arial" w:eastAsia="Arial" w:hAnsi="Arial"/>
                <w:b/>
                <w:bCs/>
                <w:color w:val="FFFFFF"/>
                <w:sz w:val="20"/>
                <w:szCs w:val="20"/>
              </w:rPr>
              <w:t xml:space="preserve">Market</w:t>
            </w:r>
          </w:p>
        </w:tc>
        <w:tc>
          <w:tcPr>
            <w:tcW w:type="dxa" w:w="2800"/>
            <w:tcBorders>
              <w:top w:val="single" w:color="C9CED6" w:sz="4"/>
              <w:left w:val="single" w:color="C9CED6" w:sz="4"/>
              <w:bottom w:val="single" w:color="C9CED6" w:sz="4"/>
              <w:right w:val="single" w:color="C9CED6" w:sz="4"/>
            </w:tcBorders>
            <w:shd w:fill="0B1F3A" w:color="auto" w:val="clear"/>
            <w:tcMar>
              <w:top w:type="dxa" w:w="80"/>
              <w:left w:type="dxa" w:w="120"/>
              <w:bottom w:type="dxa" w:w="80"/>
              <w:right w:type="dxa" w:w="120"/>
            </w:tcMar>
          </w:tcPr>
          <w:p>
            <w:r>
              <w:rPr>
                <w:rFonts w:ascii="Arial" w:cs="Arial" w:eastAsia="Arial" w:hAnsi="Arial"/>
                <w:b/>
                <w:bCs/>
                <w:color w:val="FFFFFF"/>
                <w:sz w:val="20"/>
                <w:szCs w:val="20"/>
              </w:rPr>
              <w:t xml:space="preserve">Persona</w:t>
            </w:r>
          </w:p>
        </w:tc>
        <w:tc>
          <w:tcPr>
            <w:tcW w:type="dxa" w:w="3760"/>
            <w:tcBorders>
              <w:top w:val="single" w:color="C9CED6" w:sz="4"/>
              <w:left w:val="single" w:color="C9CED6" w:sz="4"/>
              <w:bottom w:val="single" w:color="C9CED6" w:sz="4"/>
              <w:right w:val="single" w:color="C9CED6" w:sz="4"/>
            </w:tcBorders>
            <w:shd w:fill="0B1F3A" w:color="auto" w:val="clear"/>
            <w:tcMar>
              <w:top w:type="dxa" w:w="80"/>
              <w:left w:type="dxa" w:w="120"/>
              <w:bottom w:type="dxa" w:w="80"/>
              <w:right w:type="dxa" w:w="120"/>
            </w:tcMar>
          </w:tcPr>
          <w:p>
            <w:r>
              <w:rPr>
                <w:rFonts w:ascii="Arial" w:cs="Arial" w:eastAsia="Arial" w:hAnsi="Arial"/>
                <w:b/>
                <w:bCs/>
                <w:color w:val="FFFFFF"/>
                <w:sz w:val="20"/>
                <w:szCs w:val="20"/>
              </w:rPr>
              <w:t xml:space="preserve">Angle</w:t>
            </w:r>
          </w:p>
        </w:tc>
      </w:tr>
      <w:tr>
        <w:tc>
          <w:tcPr>
            <w:tcW w:type="dxa" w:w="28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bCs/>
                <w:sz w:val="20"/>
                <w:szCs w:val="20"/>
              </w:rPr>
              <w:t xml:space="preserve">Crane and rigging fleets</w:t>
            </w:r>
          </w:p>
        </w:tc>
        <w:tc>
          <w:tcPr>
            <w:tcW w:type="dxa" w:w="28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Fleet Manager, Safety Director</w:t>
            </w:r>
          </w:p>
        </w:tc>
        <w:tc>
          <w:tcPr>
            <w:tcW w:type="dxa" w:w="376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Inspection-driven uptime and safety</w:t>
            </w:r>
          </w:p>
        </w:tc>
      </w:tr>
      <w:tr>
        <w:tc>
          <w:tcPr>
            <w:tcW w:type="dxa" w:w="28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bCs/>
                <w:sz w:val="20"/>
                <w:szCs w:val="20"/>
              </w:rPr>
              <w:t xml:space="preserve">Marine fleets</w:t>
            </w:r>
          </w:p>
        </w:tc>
        <w:tc>
          <w:tcPr>
            <w:tcW w:type="dxa" w:w="28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Fleet Superintendent, Technical Manager</w:t>
            </w:r>
          </w:p>
        </w:tc>
        <w:tc>
          <w:tcPr>
            <w:tcW w:type="dxa" w:w="37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Class-ready maintenance records</w:t>
            </w:r>
          </w:p>
        </w:tc>
      </w:tr>
      <w:tr>
        <w:tc>
          <w:tcPr>
            <w:tcW w:type="dxa" w:w="28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bCs/>
                <w:sz w:val="20"/>
                <w:szCs w:val="20"/>
              </w:rPr>
              <w:t xml:space="preserve">Sensor and IoT technology partners</w:t>
            </w:r>
          </w:p>
        </w:tc>
        <w:tc>
          <w:tcPr>
            <w:tcW w:type="dxa" w:w="28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Partnerships or Channel Lead</w:t>
            </w:r>
          </w:p>
        </w:tc>
        <w:tc>
          <w:tcPr>
            <w:tcW w:type="dxa" w:w="376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Co-sell: their alert becomes a Redlist work order, then an ERP record</w:t>
            </w:r>
          </w:p>
        </w:tc>
      </w:tr>
      <w:tr>
        <w:tc>
          <w:tcPr>
            <w:tcW w:type="dxa" w:w="28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bCs/>
                <w:sz w:val="20"/>
                <w:szCs w:val="20"/>
              </w:rPr>
              <w:t xml:space="preserve">Lubricant distributors and reliability consultants</w:t>
            </w:r>
          </w:p>
        </w:tc>
        <w:tc>
          <w:tcPr>
            <w:tcW w:type="dxa" w:w="28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Owner or Sales Lead</w:t>
            </w:r>
          </w:p>
        </w:tc>
        <w:tc>
          <w:tcPr>
            <w:tcW w:type="dxa" w:w="37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Referral partners already inside target plants</w:t>
            </w:r>
          </w:p>
        </w:tc>
      </w:tr>
    </w:tbl>
    <w:p>
      <w:pPr>
        <w:pStyle w:val="Heading1"/>
        <w:pBdr>
          <w:bottom w:val="single" w:color="E4572E" w:sz="8" w:space="4"/>
        </w:pBdr>
        <w:spacing w:after="160" w:before="360"/>
      </w:pPr>
      <w:r>
        <w:rPr>
          <w:rFonts w:ascii="Arial" w:cs="Arial" w:eastAsia="Arial" w:hAnsi="Arial"/>
          <w:b/>
          <w:bCs/>
          <w:color w:val="0B1F3A"/>
          <w:sz w:val="32"/>
          <w:szCs w:val="32"/>
        </w:rPr>
        <w:t xml:space="preserve">7. Timeline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rPr>
          <w:tblHeader/>
        </w:trPr>
        <w:tc>
          <w:tcPr>
            <w:tcW w:type="dxa" w:w="1800"/>
            <w:tcBorders>
              <w:top w:val="single" w:color="C9CED6" w:sz="4"/>
              <w:left w:val="single" w:color="C9CED6" w:sz="4"/>
              <w:bottom w:val="single" w:color="C9CED6" w:sz="4"/>
              <w:right w:val="single" w:color="C9CED6" w:sz="4"/>
            </w:tcBorders>
            <w:shd w:fill="0B1F3A" w:color="auto" w:val="clear"/>
            <w:tcMar>
              <w:top w:type="dxa" w:w="80"/>
              <w:left w:type="dxa" w:w="120"/>
              <w:bottom w:type="dxa" w:w="80"/>
              <w:right w:type="dxa" w:w="120"/>
            </w:tcMar>
          </w:tcPr>
          <w:p>
            <w:r>
              <w:rPr>
                <w:rFonts w:ascii="Arial" w:cs="Arial" w:eastAsia="Arial" w:hAnsi="Arial"/>
                <w:b/>
                <w:bCs/>
                <w:color w:val="FFFFFF"/>
                <w:sz w:val="20"/>
                <w:szCs w:val="20"/>
              </w:rPr>
              <w:t xml:space="preserve">Phase</w:t>
            </w:r>
          </w:p>
        </w:tc>
        <w:tc>
          <w:tcPr>
            <w:tcW w:type="dxa" w:w="7560"/>
            <w:tcBorders>
              <w:top w:val="single" w:color="C9CED6" w:sz="4"/>
              <w:left w:val="single" w:color="C9CED6" w:sz="4"/>
              <w:bottom w:val="single" w:color="C9CED6" w:sz="4"/>
              <w:right w:val="single" w:color="C9CED6" w:sz="4"/>
            </w:tcBorders>
            <w:shd w:fill="0B1F3A" w:color="auto" w:val="clear"/>
            <w:tcMar>
              <w:top w:type="dxa" w:w="80"/>
              <w:left w:type="dxa" w:w="120"/>
              <w:bottom w:type="dxa" w:w="80"/>
              <w:right w:type="dxa" w:w="120"/>
            </w:tcMar>
          </w:tcPr>
          <w:p>
            <w:r>
              <w:rPr>
                <w:rFonts w:ascii="Arial" w:cs="Arial" w:eastAsia="Arial" w:hAnsi="Arial"/>
                <w:b/>
                <w:bCs/>
                <w:color w:val="FFFFFF"/>
                <w:sz w:val="20"/>
                <w:szCs w:val="20"/>
              </w:rPr>
              <w:t xml:space="preserve">What Happens</w:t>
            </w:r>
          </w:p>
        </w:tc>
      </w:tr>
      <w:tr>
        <w:tc>
          <w:tcPr>
            <w:tcW w:type="dxa" w:w="18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bCs/>
                <w:sz w:val="20"/>
                <w:szCs w:val="20"/>
              </w:rPr>
              <w:t xml:space="preserve">Weeks 1 to 2</w:t>
            </w:r>
          </w:p>
        </w:tc>
        <w:tc>
          <w:tcPr>
            <w:tcW w:type="dxa" w:w="756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Onboarding questionnaire (about 20 questions), domains and mailboxes purchased and warming, TAM mapped and segmented, voice-of-ICP research on how each buyer talks.</w:t>
            </w:r>
          </w:p>
        </w:tc>
      </w:tr>
      <w:tr>
        <w:tc>
          <w:tcPr>
            <w:tcW w:type="dxa" w:w="18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bCs/>
                <w:sz w:val="20"/>
                <w:szCs w:val="20"/>
              </w:rPr>
              <w:t xml:space="preserve">Weeks 3 to 6</w:t>
            </w:r>
          </w:p>
        </w:tc>
        <w:tc>
          <w:tcPr>
            <w:tcW w:type="dxa" w:w="75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Lookalike and TAM campaigns launch. First meetings typically appear within two weeks of launch. Replies are logged and analyzed daily to learn what hooks work.</w:t>
            </w:r>
          </w:p>
        </w:tc>
      </w:tr>
      <w:tr>
        <w:tc>
          <w:tcPr>
            <w:tcW w:type="dxa" w:w="18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bCs/>
                <w:sz w:val="20"/>
                <w:szCs w:val="20"/>
              </w:rPr>
              <w:t xml:space="preserve">Weeks 7 to 12</w:t>
            </w:r>
          </w:p>
        </w:tc>
        <w:tc>
          <w:tcPr>
            <w:tcW w:type="dxa" w:w="756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The signal program comes online with Slack alerts to the AEs. Champion tracking and closed-lost revival connect to HubSpot. Scale winning segments and retire weak angles.</w:t>
            </w:r>
          </w:p>
        </w:tc>
      </w:tr>
      <w:tr>
        <w:tc>
          <w:tcPr>
            <w:tcW w:type="dxa" w:w="18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bCs/>
                <w:sz w:val="20"/>
                <w:szCs w:val="20"/>
              </w:rPr>
              <w:t xml:space="preserve">Weeks 13+</w:t>
            </w:r>
          </w:p>
        </w:tc>
        <w:tc>
          <w:tcPr>
            <w:tcW w:type="dxa" w:w="75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Around month 2.5 of live campaigns the system is usually tuned enough to judge. Pilot review at month four against the in-house build, then decide on scaling toward 10 to 20 opportunities a month and adding LinkedIn or warm calling.</w:t>
            </w:r>
          </w:p>
        </w:tc>
      </w:tr>
    </w:tbl>
    <w:p>
      <w:pPr>
        <w:spacing w:after="120" w:before="120"/>
      </w:pPr>
      <w:r>
        <w:rPr>
          <w:rFonts w:ascii="Arial" w:cs="Arial" w:eastAsia="Arial" w:hAnsi="Arial"/>
          <w:i/>
          <w:iCs/>
          <w:color w:val="5A6472"/>
          <w:sz w:val="22"/>
          <w:szCs w:val="22"/>
        </w:rPr>
        <w:t xml:space="preserve">Enterprise industrial sales cycles run longer than SaaS norms. Meetings come early, but closed revenue lags, so the pilot is judged on qualified opportunities and pipeline first.</w:t>
      </w:r>
    </w:p>
    <w:p>
      <w:pPr>
        <w:pStyle w:val="Heading1"/>
        <w:pBdr>
          <w:bottom w:val="single" w:color="E4572E" w:sz="8" w:space="4"/>
        </w:pBdr>
        <w:spacing w:after="160" w:before="360"/>
      </w:pPr>
      <w:r>
        <w:rPr>
          <w:rFonts w:ascii="Arial" w:cs="Arial" w:eastAsia="Arial" w:hAnsi="Arial"/>
          <w:b/>
          <w:bCs/>
          <w:color w:val="0B1F3A"/>
          <w:sz w:val="32"/>
          <w:szCs w:val="32"/>
        </w:rPr>
        <w:t xml:space="preserve">8. Next Steps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0"/>
        <w:gridCol w:w="2000"/>
        <w:gridCol w:w="2360"/>
      </w:tblGrid>
      <w:tr>
        <w:trPr>
          <w:tblHeader/>
        </w:trPr>
        <w:tc>
          <w:tcPr>
            <w:tcW w:type="dxa" w:w="5000"/>
            <w:tcBorders>
              <w:top w:val="single" w:color="C9CED6" w:sz="4"/>
              <w:left w:val="single" w:color="C9CED6" w:sz="4"/>
              <w:bottom w:val="single" w:color="C9CED6" w:sz="4"/>
              <w:right w:val="single" w:color="C9CED6" w:sz="4"/>
            </w:tcBorders>
            <w:shd w:fill="0B1F3A" w:color="auto" w:val="clear"/>
            <w:tcMar>
              <w:top w:type="dxa" w:w="80"/>
              <w:left w:type="dxa" w:w="120"/>
              <w:bottom w:type="dxa" w:w="80"/>
              <w:right w:type="dxa" w:w="120"/>
            </w:tcMar>
          </w:tcPr>
          <w:p>
            <w:r>
              <w:rPr>
                <w:rFonts w:ascii="Arial" w:cs="Arial" w:eastAsia="Arial" w:hAnsi="Arial"/>
                <w:b/>
                <w:bCs/>
                <w:color w:val="FFFFFF"/>
                <w:sz w:val="20"/>
                <w:szCs w:val="20"/>
              </w:rPr>
              <w:t xml:space="preserve">Action</w:t>
            </w:r>
          </w:p>
        </w:tc>
        <w:tc>
          <w:tcPr>
            <w:tcW w:type="dxa" w:w="2000"/>
            <w:tcBorders>
              <w:top w:val="single" w:color="C9CED6" w:sz="4"/>
              <w:left w:val="single" w:color="C9CED6" w:sz="4"/>
              <w:bottom w:val="single" w:color="C9CED6" w:sz="4"/>
              <w:right w:val="single" w:color="C9CED6" w:sz="4"/>
            </w:tcBorders>
            <w:shd w:fill="0B1F3A" w:color="auto" w:val="clear"/>
            <w:tcMar>
              <w:top w:type="dxa" w:w="80"/>
              <w:left w:type="dxa" w:w="120"/>
              <w:bottom w:type="dxa" w:w="80"/>
              <w:right w:type="dxa" w:w="120"/>
            </w:tcMar>
          </w:tcPr>
          <w:p>
            <w:r>
              <w:rPr>
                <w:rFonts w:ascii="Arial" w:cs="Arial" w:eastAsia="Arial" w:hAnsi="Arial"/>
                <w:b/>
                <w:bCs/>
                <w:color w:val="FFFFFF"/>
                <w:sz w:val="20"/>
                <w:szCs w:val="20"/>
              </w:rPr>
              <w:t xml:space="preserve">Owner</w:t>
            </w:r>
          </w:p>
        </w:tc>
        <w:tc>
          <w:tcPr>
            <w:tcW w:type="dxa" w:w="2360"/>
            <w:tcBorders>
              <w:top w:val="single" w:color="C9CED6" w:sz="4"/>
              <w:left w:val="single" w:color="C9CED6" w:sz="4"/>
              <w:bottom w:val="single" w:color="C9CED6" w:sz="4"/>
              <w:right w:val="single" w:color="C9CED6" w:sz="4"/>
            </w:tcBorders>
            <w:shd w:fill="0B1F3A" w:color="auto" w:val="clear"/>
            <w:tcMar>
              <w:top w:type="dxa" w:w="80"/>
              <w:left w:type="dxa" w:w="120"/>
              <w:bottom w:type="dxa" w:w="80"/>
              <w:right w:type="dxa" w:w="120"/>
            </w:tcMar>
          </w:tcPr>
          <w:p>
            <w:r>
              <w:rPr>
                <w:rFonts w:ascii="Arial" w:cs="Arial" w:eastAsia="Arial" w:hAnsi="Arial"/>
                <w:b/>
                <w:bCs/>
                <w:color w:val="FFFFFF"/>
                <w:sz w:val="20"/>
                <w:szCs w:val="20"/>
              </w:rPr>
              <w:t xml:space="preserve">Date</w:t>
            </w:r>
          </w:p>
        </w:tc>
      </w:tr>
      <w:tr>
        <w:tc>
          <w:tcPr>
            <w:tcW w:type="dxa" w:w="50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bCs/>
                <w:sz w:val="20"/>
                <w:szCs w:val="20"/>
              </w:rPr>
              <w:t xml:space="preserve">Send recap email with the Lumion case study</w:t>
            </w:r>
          </w:p>
        </w:tc>
        <w:tc>
          <w:tcPr>
            <w:tcW w:type="dxa" w:w="20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BuzzLead</w:t>
            </w:r>
          </w:p>
        </w:tc>
        <w:tc>
          <w:tcPr>
            <w:tcW w:type="dxa" w:w="236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Today, Oct 21</w:t>
            </w:r>
          </w:p>
        </w:tc>
      </w:tr>
      <w:tr>
        <w:tc>
          <w:tcPr>
            <w:tcW w:type="dxa" w:w="50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bCs/>
                <w:sz w:val="20"/>
                <w:szCs w:val="20"/>
              </w:rPr>
              <w:t xml:space="preserve">Send LinkedIn ads cost per lead and lead volume</w:t>
            </w:r>
          </w:p>
        </w:tc>
        <w:tc>
          <w:tcPr>
            <w:tcW w:type="dxa" w:w="20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Wayne</w:t>
            </w:r>
          </w:p>
        </w:tc>
        <w:tc>
          <w:tcPr>
            <w:tcW w:type="dxa" w:w="23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Before Oct 27</w:t>
            </w:r>
          </w:p>
        </w:tc>
      </w:tr>
      <w:tr>
        <w:tc>
          <w:tcPr>
            <w:tcW w:type="dxa" w:w="50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bCs/>
                <w:sz w:val="20"/>
                <w:szCs w:val="20"/>
              </w:rPr>
              <w:t xml:space="preserve">Check which domain HubSpot sends from and its warmup history</w:t>
            </w:r>
          </w:p>
        </w:tc>
        <w:tc>
          <w:tcPr>
            <w:tcW w:type="dxa" w:w="20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Wayne</w:t>
            </w:r>
          </w:p>
        </w:tc>
        <w:tc>
          <w:tcPr>
            <w:tcW w:type="dxa" w:w="236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Before Oct 27</w:t>
            </w:r>
          </w:p>
        </w:tc>
      </w:tr>
      <w:tr>
        <w:tc>
          <w:tcPr>
            <w:tcW w:type="dxa" w:w="50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bCs/>
                <w:sz w:val="20"/>
                <w:szCs w:val="20"/>
              </w:rPr>
              <w:t xml:space="preserve">Walk through the personalized GTM strategy and economics (Nick, Troy, Wayne)</w:t>
            </w:r>
          </w:p>
        </w:tc>
        <w:tc>
          <w:tcPr>
            <w:tcW w:type="dxa" w:w="20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BuzzLead and Wayne</w:t>
            </w:r>
          </w:p>
        </w:tc>
        <w:tc>
          <w:tcPr>
            <w:tcW w:type="dxa" w:w="23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Tue, Oct 27, 11:00 AM ET</w:t>
            </w:r>
          </w:p>
        </w:tc>
      </w:tr>
      <w:tr>
        <w:tc>
          <w:tcPr>
            <w:tcW w:type="dxa" w:w="50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bCs/>
                <w:sz w:val="20"/>
                <w:szCs w:val="20"/>
              </w:rPr>
              <w:t xml:space="preserve">Take the strategy to Redlist's president and share any reservations same day</w:t>
            </w:r>
          </w:p>
        </w:tc>
        <w:tc>
          <w:tcPr>
            <w:tcW w:type="dxa" w:w="20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Wayne</w:t>
            </w:r>
          </w:p>
        </w:tc>
        <w:tc>
          <w:tcPr>
            <w:tcW w:type="dxa" w:w="236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rFonts w:ascii="Arial" w:cs="Arial" w:eastAsia="Arial" w:hAnsi="Arial"/>
                <w:b w:val="false"/>
                <w:bCs w:val="false"/>
                <w:sz w:val="20"/>
                <w:szCs w:val="20"/>
              </w:rPr>
              <w:t xml:space="preserve">Tue, Oct 27, afternoon</w:t>
            </w:r>
          </w:p>
        </w:tc>
      </w:tr>
      <w:tr>
        <w:tc>
          <w:tcPr>
            <w:tcW w:type="dxa" w:w="50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bCs/>
                <w:sz w:val="20"/>
                <w:szCs w:val="20"/>
              </w:rPr>
              <w:t xml:space="preserve">Speak with the new VP of Sales (John Ragsdale) about his Lumion experience</w:t>
            </w:r>
          </w:p>
        </w:tc>
        <w:tc>
          <w:tcPr>
            <w:tcW w:type="dxa" w:w="20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Wayne</w:t>
            </w:r>
          </w:p>
        </w:tc>
        <w:tc>
          <w:tcPr>
            <w:tcW w:type="dxa" w:w="23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r>
              <w:rPr>
                <w:rFonts w:ascii="Arial" w:cs="Arial" w:eastAsia="Arial" w:hAnsi="Arial"/>
                <w:b w:val="false"/>
                <w:bCs w:val="false"/>
                <w:sz w:val="20"/>
                <w:szCs w:val="20"/>
              </w:rPr>
              <w:t xml:space="preserve">This week</w:t>
            </w:r>
          </w:p>
        </w:tc>
      </w:tr>
    </w:tbl>
    <w:p>
      <w:pPr>
        <w:pStyle w:val="Heading1"/>
        <w:pBdr>
          <w:bottom w:val="single" w:color="E4572E" w:sz="8" w:space="4"/>
        </w:pBdr>
        <w:spacing w:after="160" w:before="360"/>
      </w:pPr>
      <w:r>
        <w:rPr>
          <w:rFonts w:ascii="Arial" w:cs="Arial" w:eastAsia="Arial" w:hAnsi="Arial"/>
          <w:b/>
          <w:bCs/>
          <w:color w:val="0B1F3A"/>
          <w:sz w:val="32"/>
          <w:szCs w:val="32"/>
        </w:rPr>
        <w:t xml:space="preserve">Sources</w:t>
      </w:r>
    </w:p>
    <w:p>
      <w:pPr>
        <w:spacing w:after="120"/>
      </w:pPr>
      <w:r>
        <w:rPr>
          <w:rFonts w:ascii="Arial" w:cs="Arial" w:eastAsia="Arial" w:hAnsi="Arial"/>
          <w:sz w:val="18"/>
          <w:szCs w:val="18"/>
        </w:rPr>
        <w:t xml:space="preserve">Discovery call transcript (Fireflies, Oct 21, 2026): https://app.fireflies.ai/view/01M5FSZ6F6H7SAPGSZWRGV100W</w:t>
      </w:r>
    </w:p>
    <w:p>
      <w:pPr>
        <w:spacing w:after="120"/>
      </w:pPr>
      <w:r>
        <w:rPr>
          <w:rFonts w:ascii="Arial" w:cs="Arial" w:eastAsia="Arial" w:hAnsi="Arial"/>
          <w:sz w:val="18"/>
          <w:szCs w:val="18"/>
        </w:rPr>
        <w:t xml:space="preserve">Redlist homepage and case study listing: https://www.getredlist.com/</w:t>
      </w:r>
    </w:p>
    <w:p>
      <w:pPr>
        <w:spacing w:after="120"/>
      </w:pPr>
      <w:r>
        <w:rPr>
          <w:rFonts w:ascii="Arial" w:cs="Arial" w:eastAsia="Arial" w:hAnsi="Arial"/>
          <w:sz w:val="18"/>
          <w:szCs w:val="18"/>
        </w:rPr>
        <w:t xml:space="preserve">Redlist about page: https://www.getredlist.com/company/about-us/</w:t>
      </w:r>
    </w:p>
    <w:p>
      <w:pPr>
        <w:spacing w:after="120"/>
      </w:pPr>
      <w:r>
        <w:rPr>
          <w:rFonts w:ascii="Arial" w:cs="Arial" w:eastAsia="Arial" w:hAnsi="Arial"/>
          <w:sz w:val="18"/>
          <w:szCs w:val="18"/>
        </w:rPr>
        <w:t xml:space="preserve">Primary metals manufacturer case study: https://www.casestudies.com/company/redlist/case-study/lube-management-software-saves-metal-manufacture-209070</w:t>
      </w:r>
    </w:p>
    <w:p>
      <w:pPr>
        <w:spacing w:after="120"/>
      </w:pPr>
      <w:r>
        <w:rPr>
          <w:rFonts w:ascii="Arial" w:cs="Arial" w:eastAsia="Arial" w:hAnsi="Arial"/>
          <w:sz w:val="18"/>
          <w:szCs w:val="18"/>
        </w:rPr>
        <w:t xml:space="preserve">Slashdot listing (SAP, Oracle EAM, JDE, Maximo integrations): https://slashdot.org/software/p/Gincore/</w:t>
      </w:r>
    </w:p>
    <w:p>
      <w:pPr>
        <w:spacing w:after="120"/>
      </w:pPr>
      <w:r>
        <w:rPr>
          <w:rFonts w:ascii="Arial" w:cs="Arial" w:eastAsia="Arial" w:hAnsi="Arial"/>
          <w:sz w:val="18"/>
          <w:szCs w:val="18"/>
        </w:rPr>
        <w:t xml:space="preserve">Deloitte and Manufacturing Institute press release: https://www2.deloitte.com/us/en/pages/about-deloitte/articles/press-releases/us-manufacturing-could-need-new-employees-by-2033.html</w:t>
      </w:r>
    </w:p>
    <w:p>
      <w:pPr>
        <w:spacing w:after="120"/>
      </w:pPr>
      <w:r>
        <w:rPr>
          <w:rFonts w:ascii="Arial" w:cs="Arial" w:eastAsia="Arial" w:hAnsi="Arial"/>
          <w:sz w:val="18"/>
          <w:szCs w:val="18"/>
        </w:rPr>
        <w:t xml:space="preserve">SAPinsider on the 2027 ECC deadline: https://sapinsider.org/articles/sap-2027-deadline-what-happens-if-you-dont-migrate-to-s-4hana/</w:t>
      </w:r>
    </w:p>
    <w:p>
      <w:pPr>
        <w:spacing w:after="120"/>
      </w:pPr>
      <w:r>
        <w:rPr>
          <w:rFonts w:ascii="Arial" w:cs="Arial" w:eastAsia="Arial" w:hAnsi="Arial"/>
          <w:sz w:val="18"/>
          <w:szCs w:val="18"/>
        </w:rPr>
        <w:t xml:space="preserve">Panorama Consulting on migration timelines: https://www.panorama-consulting.com/18-months-to-the-sap-ecc-cliff-and-half-of-customers-still-havent-moved/</w:t>
      </w:r>
    </w:p>
    <w:p>
      <w:pPr>
        <w:spacing w:after="120"/>
      </w:pPr>
      <w:r>
        <w:rPr>
          <w:rFonts w:ascii="Arial" w:cs="Arial" w:eastAsia="Arial" w:hAnsi="Arial"/>
          <w:sz w:val="18"/>
          <w:szCs w:val="18"/>
        </w:rPr>
        <w:t xml:space="preserve">Company size and funding figures come from Latka (https://getlatka.com/companies/redlist), Built In (https://builtin.com/company/redlist), and Venture Capital Journal (https://www.venturecapitaljournal.com/csl-ventures-leads-series-a-round-for-redlist/). They are directional, not confirmed by Redlist.</w:t>
      </w:r>
    </w:p>
    <w:p>
      <w:pPr>
        <w:spacing w:after="120"/>
      </w:pPr>
      <w:r>
        <w:rPr>
          <w:rFonts w:ascii="Arial" w:cs="Arial" w:eastAsia="Arial" w:hAnsi="Arial"/>
          <w:i/>
          <w:iCs/>
          <w:color w:val="5A6472"/>
          <w:sz w:val="18"/>
          <w:szCs w:val="18"/>
        </w:rPr>
        <w:t xml:space="preserve">Note: Wayne Bulsiewicz's LinkedIn profile and the Redlist company LinkedIn page block automated access, so his background here comes from the call itself. Named results come from Redlist's published case studies and third-party summaries of them.</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A6472"/>
        <w:sz w:val="16"/>
        <w:szCs w:val="16"/>
      </w:rPr>
      <w:t xml:space="preserve">BuzzLead | Redlist GTM Strategy | Page </w:t>
    </w:r>
    <w:r>
      <w:rPr>
        <w:rFonts w:ascii="Arial" w:cs="Arial" w:eastAsia="Arial" w:hAnsi="Arial"/>
        <w:color w:val="5A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Redlist GTM Strategy</dc:title>
  <dc:creator>BuzzLead</dc:creator>
  <cp:lastModifiedBy>Un-named</cp:lastModifiedBy>
  <cp:revision>1</cp:revision>
  <dcterms:created xsi:type="dcterms:W3CDTF">2026-10-21T20:33:03.835Z</dcterms:created>
  <dcterms:modified xsi:type="dcterms:W3CDTF">2026-10-21T20:33:03.843Z</dcterms:modified>
</cp:coreProperties>
</file>

<file path=docProps/custom.xml><?xml version="1.0" encoding="utf-8"?>
<Properties xmlns="http://schemas.openxmlformats.org/officeDocument/2006/custom-properties" xmlns:vt="http://schemas.openxmlformats.org/officeDocument/2006/docPropsVTypes"/>
</file>